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720" w:right="0" w:firstLine="0"/>
        <w:rPr>
          <w:rFonts w:ascii="Times New Roman"/>
          <w:sz w:val="20"/>
        </w:rPr>
      </w:pPr>
      <w:r>
        <w:rPr>
          <w:rFonts w:ascii="Times New Roman"/>
          <w:sz w:val="20"/>
        </w:rPr>
        <mc:AlternateContent>
          <mc:Choice Requires="wps">
            <w:drawing>
              <wp:inline distT="0" distB="0" distL="0" distR="0">
                <wp:extent cx="4493260" cy="648335"/>
                <wp:effectExtent l="0" t="0" r="0" b="8890"/>
                <wp:docPr id="1" name="Group 1"/>
                <wp:cNvGraphicFramePr>
                  <a:graphicFrameLocks/>
                </wp:cNvGraphicFramePr>
                <a:graphic>
                  <a:graphicData uri="http://schemas.microsoft.com/office/word/2010/wordprocessingGroup">
                    <wpg:wgp>
                      <wpg:cNvPr id="1" name="Group 1"/>
                      <wpg:cNvGrpSpPr/>
                      <wpg:grpSpPr>
                        <a:xfrm>
                          <a:off x="0" y="0"/>
                          <a:ext cx="4493260" cy="648335"/>
                          <a:chExt cx="4493260" cy="648335"/>
                        </a:xfrm>
                      </wpg:grpSpPr>
                      <wps:wsp>
                        <wps:cNvPr id="2" name="Graphic 2"/>
                        <wps:cNvSpPr/>
                        <wps:spPr>
                          <a:xfrm>
                            <a:off x="0" y="0"/>
                            <a:ext cx="4493260" cy="648335"/>
                          </a:xfrm>
                          <a:custGeom>
                            <a:avLst/>
                            <a:gdLst/>
                            <a:ahLst/>
                            <a:cxnLst/>
                            <a:rect l="l" t="t" r="r" b="b"/>
                            <a:pathLst>
                              <a:path w="4493260" h="648335">
                                <a:moveTo>
                                  <a:pt x="4492777" y="0"/>
                                </a:moveTo>
                                <a:lnTo>
                                  <a:pt x="0" y="0"/>
                                </a:lnTo>
                                <a:lnTo>
                                  <a:pt x="0" y="648004"/>
                                </a:lnTo>
                                <a:lnTo>
                                  <a:pt x="3931069" y="648004"/>
                                </a:lnTo>
                                <a:lnTo>
                                  <a:pt x="4492777" y="0"/>
                                </a:lnTo>
                                <a:close/>
                              </a:path>
                            </a:pathLst>
                          </a:custGeom>
                          <a:solidFill>
                            <a:srgbClr val="C95D48"/>
                          </a:solidFill>
                        </wps:spPr>
                        <wps:bodyPr wrap="square" lIns="0" tIns="0" rIns="0" bIns="0" rtlCol="0">
                          <a:prstTxWarp prst="textNoShape">
                            <a:avLst/>
                          </a:prstTxWarp>
                          <a:noAutofit/>
                        </wps:bodyPr>
                      </wps:wsp>
                      <wps:wsp>
                        <wps:cNvPr id="3" name="Textbox 3"/>
                        <wps:cNvSpPr txBox="1"/>
                        <wps:spPr>
                          <a:xfrm>
                            <a:off x="0" y="0"/>
                            <a:ext cx="4493260" cy="648335"/>
                          </a:xfrm>
                          <a:prstGeom prst="rect">
                            <a:avLst/>
                          </a:prstGeom>
                        </wps:spPr>
                        <wps:txbx>
                          <w:txbxContent>
                            <w:p>
                              <w:pPr>
                                <w:spacing w:line="681" w:lineRule="exact" w:before="339"/>
                                <w:ind w:left="850" w:right="0" w:firstLine="0"/>
                                <w:jc w:val="left"/>
                                <w:rPr>
                                  <w:rFonts w:ascii="Great Vibes" w:hAnsi="Great Vibes"/>
                                  <w:i/>
                                  <w:sz w:val="60"/>
                                </w:rPr>
                              </w:pPr>
                              <w:r>
                                <w:rPr>
                                  <w:rFonts w:ascii="Great Vibes" w:hAnsi="Great Vibes"/>
                                  <w:i/>
                                  <w:color w:val="FFFFFF"/>
                                  <w:sz w:val="60"/>
                                </w:rPr>
                                <w:t>Chairman’s </w:t>
                              </w:r>
                              <w:r>
                                <w:rPr>
                                  <w:rFonts w:ascii="Great Vibes" w:hAnsi="Great Vibes"/>
                                  <w:i/>
                                  <w:color w:val="FFFFFF"/>
                                  <w:spacing w:val="-2"/>
                                  <w:sz w:val="60"/>
                                </w:rPr>
                                <w:t>Statement</w:t>
                              </w:r>
                            </w:p>
                          </w:txbxContent>
                        </wps:txbx>
                        <wps:bodyPr wrap="square" lIns="0" tIns="0" rIns="0" bIns="0" rtlCol="0">
                          <a:noAutofit/>
                        </wps:bodyPr>
                      </wps:wsp>
                    </wpg:wgp>
                  </a:graphicData>
                </a:graphic>
              </wp:inline>
            </w:drawing>
          </mc:Choice>
          <mc:Fallback>
            <w:pict>
              <v:group style="width:353.8pt;height:51.05pt;mso-position-horizontal-relative:char;mso-position-vertical-relative:line" id="docshapegroup1" coordorigin="0,0" coordsize="7076,1021">
                <v:shape style="position:absolute;left:0;top:0;width:7076;height:1021" id="docshape2" coordorigin="0,0" coordsize="7076,1021" path="m7075,0l0,0,0,1020,6191,1020,7075,0xe" filled="true" fillcolor="#c95d48" stroked="false">
                  <v:path arrowok="t"/>
                  <v:fill type="solid"/>
                </v:shape>
                <v:shapetype id="_x0000_t202" o:spt="202" coordsize="21600,21600" path="m,l,21600r21600,l21600,xe">
                  <v:stroke joinstyle="miter"/>
                  <v:path gradientshapeok="t" o:connecttype="rect"/>
                </v:shapetype>
                <v:shape style="position:absolute;left:0;top:0;width:7076;height:1021" type="#_x0000_t202" id="docshape3" filled="false" stroked="false">
                  <v:textbox inset="0,0,0,0">
                    <w:txbxContent>
                      <w:p>
                        <w:pPr>
                          <w:spacing w:line="681" w:lineRule="exact" w:before="339"/>
                          <w:ind w:left="850" w:right="0" w:firstLine="0"/>
                          <w:jc w:val="left"/>
                          <w:rPr>
                            <w:rFonts w:ascii="Great Vibes" w:hAnsi="Great Vibes"/>
                            <w:i/>
                            <w:sz w:val="60"/>
                          </w:rPr>
                        </w:pPr>
                        <w:r>
                          <w:rPr>
                            <w:rFonts w:ascii="Great Vibes" w:hAnsi="Great Vibes"/>
                            <w:i/>
                            <w:color w:val="FFFFFF"/>
                            <w:sz w:val="60"/>
                          </w:rPr>
                          <w:t>Chairman’s </w:t>
                        </w:r>
                        <w:r>
                          <w:rPr>
                            <w:rFonts w:ascii="Great Vibes" w:hAnsi="Great Vibes"/>
                            <w:i/>
                            <w:color w:val="FFFFFF"/>
                            <w:spacing w:val="-2"/>
                            <w:sz w:val="60"/>
                          </w:rPr>
                          <w:t>Statement</w:t>
                        </w:r>
                      </w:p>
                    </w:txbxContent>
                  </v:textbox>
                  <w10:wrap type="none"/>
                </v:shape>
              </v:group>
            </w:pict>
          </mc:Fallback>
        </mc:AlternateContent>
      </w:r>
      <w:r>
        <w:rPr>
          <w:rFonts w:ascii="Times New Roman"/>
          <w:sz w:val="20"/>
        </w:rPr>
      </w:r>
    </w:p>
    <w:p>
      <w:pPr>
        <w:pStyle w:val="BodyText"/>
        <w:spacing w:before="119"/>
        <w:ind w:left="0" w:right="0"/>
        <w:jc w:val="left"/>
        <w:rPr>
          <w:rFonts w:ascii="Times New Roman"/>
          <w:sz w:val="20"/>
        </w:rPr>
      </w:pPr>
    </w:p>
    <w:p>
      <w:pPr>
        <w:pStyle w:val="BodyText"/>
        <w:spacing w:after="0"/>
        <w:jc w:val="left"/>
        <w:rPr>
          <w:rFonts w:ascii="Times New Roman"/>
          <w:sz w:val="20"/>
        </w:rPr>
        <w:sectPr>
          <w:type w:val="continuous"/>
          <w:pgSz w:w="12240" w:h="15840"/>
          <w:pgMar w:top="0" w:bottom="280" w:left="720" w:right="720"/>
        </w:sectPr>
      </w:pPr>
    </w:p>
    <w:p>
      <w:pPr>
        <w:pStyle w:val="BodyText"/>
        <w:spacing w:before="8" w:after="1"/>
        <w:ind w:left="0" w:right="0"/>
        <w:jc w:val="left"/>
        <w:rPr>
          <w:rFonts w:ascii="Times New Roman"/>
          <w:sz w:val="8"/>
        </w:rPr>
      </w:pPr>
      <w:r>
        <w:rPr>
          <w:rFonts w:ascii="Times New Roman"/>
          <w:sz w:val="8"/>
        </w:rPr>
        <mc:AlternateContent>
          <mc:Choice Requires="wps">
            <w:drawing>
              <wp:anchor distT="0" distB="0" distL="0" distR="0" allowOverlap="1" layoutInCell="1" locked="0" behindDoc="1" simplePos="0" relativeHeight="487532032">
                <wp:simplePos x="0" y="0"/>
                <wp:positionH relativeFrom="page">
                  <wp:posOffset>0</wp:posOffset>
                </wp:positionH>
                <wp:positionV relativeFrom="page">
                  <wp:posOffset>0</wp:posOffset>
                </wp:positionV>
                <wp:extent cx="7772400" cy="1005840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AF2EE"/>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5784448" id="docshape4" filled="true" fillcolor="#faf2ee" stroked="false">
                <v:fill type="solid"/>
                <w10:wrap type="none"/>
              </v:rect>
            </w:pict>
          </mc:Fallback>
        </mc:AlternateContent>
      </w:r>
    </w:p>
    <w:p>
      <w:pPr>
        <w:spacing w:line="240" w:lineRule="auto"/>
        <w:ind w:left="130" w:right="-15" w:firstLine="0"/>
        <w:rPr>
          <w:rFonts w:ascii="Times New Roman"/>
          <w:sz w:val="20"/>
        </w:rPr>
      </w:pPr>
      <w:r>
        <w:rPr>
          <w:rFonts w:ascii="Times New Roman"/>
          <w:sz w:val="20"/>
        </w:rPr>
        <w:drawing>
          <wp:inline distT="0" distB="0" distL="0" distR="0">
            <wp:extent cx="3244342" cy="3160776"/>
            <wp:effectExtent l="0" t="0" r="0" b="0"/>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3244342" cy="3160776"/>
                    </a:xfrm>
                    <a:prstGeom prst="rect">
                      <a:avLst/>
                    </a:prstGeom>
                  </pic:spPr>
                </pic:pic>
              </a:graphicData>
            </a:graphic>
          </wp:inline>
        </w:drawing>
      </w:r>
      <w:r>
        <w:rPr>
          <w:rFonts w:ascii="Times New Roman"/>
          <w:sz w:val="20"/>
        </w:rPr>
      </w:r>
    </w:p>
    <w:p>
      <w:pPr>
        <w:pStyle w:val="BodyText"/>
        <w:spacing w:before="143"/>
        <w:ind w:left="0" w:right="0"/>
        <w:jc w:val="left"/>
        <w:rPr>
          <w:rFonts w:ascii="Times New Roman"/>
        </w:rPr>
      </w:pPr>
    </w:p>
    <w:p>
      <w:pPr>
        <w:pStyle w:val="BodyText"/>
        <w:spacing w:line="295" w:lineRule="auto" w:before="1"/>
        <w:ind w:left="566"/>
      </w:pPr>
      <w:r>
        <w:rPr/>
        <mc:AlternateContent>
          <mc:Choice Requires="wps">
            <w:drawing>
              <wp:anchor distT="0" distB="0" distL="0" distR="0" allowOverlap="1" layoutInCell="1" locked="0" behindDoc="0" simplePos="0" relativeHeight="15729664">
                <wp:simplePos x="0" y="0"/>
                <wp:positionH relativeFrom="page">
                  <wp:posOffset>524140</wp:posOffset>
                </wp:positionH>
                <wp:positionV relativeFrom="paragraph">
                  <wp:posOffset>-61386</wp:posOffset>
                </wp:positionV>
                <wp:extent cx="293370" cy="486409"/>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93370" cy="486409"/>
                        </a:xfrm>
                        <a:prstGeom prst="rect">
                          <a:avLst/>
                        </a:prstGeom>
                      </wps:spPr>
                      <wps:txbx>
                        <w:txbxContent>
                          <w:p>
                            <w:pPr>
                              <w:spacing w:line="765" w:lineRule="exact" w:before="0"/>
                              <w:ind w:left="0" w:right="0" w:firstLine="0"/>
                              <w:jc w:val="left"/>
                              <w:rPr>
                                <w:rFonts w:ascii="Times New Roman"/>
                                <w:b/>
                                <w:sz w:val="69"/>
                              </w:rPr>
                            </w:pPr>
                            <w:r>
                              <w:rPr>
                                <w:rFonts w:ascii="Times New Roman"/>
                                <w:b/>
                                <w:color w:val="C95D48"/>
                                <w:spacing w:val="-10"/>
                                <w:sz w:val="69"/>
                              </w:rPr>
                              <w:t>T</w:t>
                            </w:r>
                          </w:p>
                        </w:txbxContent>
                      </wps:txbx>
                      <wps:bodyPr wrap="square" lIns="0" tIns="0" rIns="0" bIns="0" rtlCol="0">
                        <a:noAutofit/>
                      </wps:bodyPr>
                    </wps:wsp>
                  </a:graphicData>
                </a:graphic>
              </wp:anchor>
            </w:drawing>
          </mc:Choice>
          <mc:Fallback>
            <w:pict>
              <v:shape style="position:absolute;margin-left:41.270901pt;margin-top:-4.833581pt;width:23.1pt;height:38.3pt;mso-position-horizontal-relative:page;mso-position-vertical-relative:paragraph;z-index:15729664" type="#_x0000_t202" id="docshape5" filled="false" stroked="false">
                <v:textbox inset="0,0,0,0">
                  <w:txbxContent>
                    <w:p>
                      <w:pPr>
                        <w:spacing w:line="765" w:lineRule="exact" w:before="0"/>
                        <w:ind w:left="0" w:right="0" w:firstLine="0"/>
                        <w:jc w:val="left"/>
                        <w:rPr>
                          <w:rFonts w:ascii="Times New Roman"/>
                          <w:b/>
                          <w:sz w:val="69"/>
                        </w:rPr>
                      </w:pPr>
                      <w:r>
                        <w:rPr>
                          <w:rFonts w:ascii="Times New Roman"/>
                          <w:b/>
                          <w:color w:val="C95D48"/>
                          <w:spacing w:val="-10"/>
                          <w:sz w:val="69"/>
                        </w:rPr>
                        <w:t>T</w:t>
                      </w:r>
                    </w:p>
                  </w:txbxContent>
                </v:textbox>
                <w10:wrap type="none"/>
              </v:shape>
            </w:pict>
          </mc:Fallback>
        </mc:AlternateContent>
      </w:r>
      <w:r>
        <w:rPr>
          <w:color w:val="231F20"/>
          <w:spacing w:val="-2"/>
        </w:rPr>
        <w:t>he</w:t>
      </w:r>
      <w:r>
        <w:rPr>
          <w:color w:val="231F20"/>
          <w:spacing w:val="-14"/>
        </w:rPr>
        <w:t> </w:t>
      </w:r>
      <w:r>
        <w:rPr>
          <w:color w:val="231F20"/>
          <w:spacing w:val="-2"/>
        </w:rPr>
        <w:t>financial</w:t>
      </w:r>
      <w:r>
        <w:rPr>
          <w:color w:val="231F20"/>
          <w:spacing w:val="-13"/>
        </w:rPr>
        <w:t> </w:t>
      </w:r>
      <w:r>
        <w:rPr>
          <w:color w:val="231F20"/>
          <w:spacing w:val="-2"/>
        </w:rPr>
        <w:t>year</w:t>
      </w:r>
      <w:r>
        <w:rPr>
          <w:color w:val="231F20"/>
          <w:spacing w:val="-13"/>
        </w:rPr>
        <w:t> </w:t>
      </w:r>
      <w:r>
        <w:rPr>
          <w:color w:val="231F20"/>
          <w:spacing w:val="-2"/>
        </w:rPr>
        <w:t>2025-26</w:t>
      </w:r>
      <w:r>
        <w:rPr>
          <w:color w:val="231F20"/>
          <w:spacing w:val="-14"/>
        </w:rPr>
        <w:t> </w:t>
      </w:r>
      <w:r>
        <w:rPr>
          <w:color w:val="231F20"/>
          <w:spacing w:val="-2"/>
        </w:rPr>
        <w:t>was</w:t>
      </w:r>
      <w:r>
        <w:rPr>
          <w:color w:val="231F20"/>
          <w:spacing w:val="-13"/>
        </w:rPr>
        <w:t> </w:t>
      </w:r>
      <w:r>
        <w:rPr>
          <w:color w:val="231F20"/>
          <w:spacing w:val="-2"/>
        </w:rPr>
        <w:t>a</w:t>
      </w:r>
      <w:r>
        <w:rPr>
          <w:color w:val="231F20"/>
          <w:spacing w:val="-13"/>
        </w:rPr>
        <w:t> </w:t>
      </w:r>
      <w:r>
        <w:rPr>
          <w:color w:val="231F20"/>
          <w:spacing w:val="-2"/>
        </w:rPr>
        <w:t>year</w:t>
      </w:r>
      <w:r>
        <w:rPr>
          <w:color w:val="231F20"/>
          <w:spacing w:val="-13"/>
        </w:rPr>
        <w:t> </w:t>
      </w:r>
      <w:r>
        <w:rPr>
          <w:color w:val="231F20"/>
          <w:spacing w:val="-2"/>
        </w:rPr>
        <w:t>of</w:t>
      </w:r>
      <w:r>
        <w:rPr>
          <w:color w:val="231F20"/>
          <w:spacing w:val="-14"/>
        </w:rPr>
        <w:t> </w:t>
      </w:r>
      <w:r>
        <w:rPr>
          <w:color w:val="231F20"/>
          <w:spacing w:val="-2"/>
        </w:rPr>
        <w:t>resilience </w:t>
      </w:r>
      <w:r>
        <w:rPr>
          <w:color w:val="231F20"/>
          <w:w w:val="105"/>
        </w:rPr>
        <w:t>for</w:t>
      </w:r>
      <w:r>
        <w:rPr>
          <w:color w:val="231F20"/>
          <w:spacing w:val="-9"/>
          <w:w w:val="105"/>
        </w:rPr>
        <w:t> </w:t>
      </w:r>
      <w:r>
        <w:rPr>
          <w:color w:val="231F20"/>
          <w:w w:val="105"/>
        </w:rPr>
        <w:t>Indian</w:t>
      </w:r>
      <w:r>
        <w:rPr>
          <w:color w:val="231F20"/>
          <w:spacing w:val="-8"/>
          <w:w w:val="105"/>
        </w:rPr>
        <w:t> </w:t>
      </w:r>
      <w:r>
        <w:rPr>
          <w:color w:val="231F20"/>
          <w:w w:val="105"/>
        </w:rPr>
        <w:t>securities</w:t>
      </w:r>
      <w:r>
        <w:rPr>
          <w:color w:val="231F20"/>
          <w:spacing w:val="-8"/>
          <w:w w:val="105"/>
        </w:rPr>
        <w:t> </w:t>
      </w:r>
      <w:r>
        <w:rPr>
          <w:color w:val="231F20"/>
          <w:w w:val="105"/>
        </w:rPr>
        <w:t>markets.</w:t>
      </w:r>
      <w:r>
        <w:rPr>
          <w:color w:val="231F20"/>
          <w:spacing w:val="-9"/>
          <w:w w:val="105"/>
        </w:rPr>
        <w:t> </w:t>
      </w:r>
      <w:r>
        <w:rPr>
          <w:color w:val="231F20"/>
          <w:w w:val="105"/>
        </w:rPr>
        <w:t>The</w:t>
      </w:r>
      <w:r>
        <w:rPr>
          <w:color w:val="231F20"/>
          <w:spacing w:val="-8"/>
          <w:w w:val="105"/>
        </w:rPr>
        <w:t> </w:t>
      </w:r>
      <w:r>
        <w:rPr>
          <w:color w:val="231F20"/>
          <w:w w:val="105"/>
        </w:rPr>
        <w:t>year,</w:t>
      </w:r>
      <w:r>
        <w:rPr>
          <w:color w:val="231F20"/>
          <w:spacing w:val="-8"/>
          <w:w w:val="105"/>
        </w:rPr>
        <w:t> </w:t>
      </w:r>
      <w:r>
        <w:rPr>
          <w:color w:val="231F20"/>
          <w:w w:val="105"/>
        </w:rPr>
        <w:t>one</w:t>
      </w:r>
      <w:r>
        <w:rPr>
          <w:color w:val="231F20"/>
          <w:spacing w:val="-9"/>
          <w:w w:val="105"/>
        </w:rPr>
        <w:t> </w:t>
      </w:r>
      <w:r>
        <w:rPr>
          <w:color w:val="231F20"/>
          <w:spacing w:val="-5"/>
          <w:w w:val="105"/>
        </w:rPr>
        <w:t>of</w:t>
      </w:r>
    </w:p>
    <w:p>
      <w:pPr>
        <w:pStyle w:val="BodyText"/>
        <w:spacing w:line="304" w:lineRule="auto" w:before="12"/>
      </w:pPr>
      <w:r>
        <w:rPr>
          <w:color w:val="231F20"/>
          <w:w w:val="105"/>
        </w:rPr>
        <w:t>the</w:t>
      </w:r>
      <w:r>
        <w:rPr>
          <w:color w:val="231F20"/>
          <w:spacing w:val="-2"/>
          <w:w w:val="105"/>
        </w:rPr>
        <w:t> </w:t>
      </w:r>
      <w:r>
        <w:rPr>
          <w:color w:val="231F20"/>
          <w:w w:val="105"/>
        </w:rPr>
        <w:t>most</w:t>
      </w:r>
      <w:r>
        <w:rPr>
          <w:color w:val="231F20"/>
          <w:spacing w:val="-2"/>
          <w:w w:val="105"/>
        </w:rPr>
        <w:t> </w:t>
      </w:r>
      <w:r>
        <w:rPr>
          <w:color w:val="231F20"/>
          <w:w w:val="105"/>
        </w:rPr>
        <w:t>eventful</w:t>
      </w:r>
      <w:r>
        <w:rPr>
          <w:color w:val="231F20"/>
          <w:spacing w:val="-2"/>
          <w:w w:val="105"/>
        </w:rPr>
        <w:t> </w:t>
      </w:r>
      <w:r>
        <w:rPr>
          <w:color w:val="231F20"/>
          <w:w w:val="105"/>
        </w:rPr>
        <w:t>and</w:t>
      </w:r>
      <w:r>
        <w:rPr>
          <w:color w:val="231F20"/>
          <w:spacing w:val="-2"/>
          <w:w w:val="105"/>
        </w:rPr>
        <w:t> </w:t>
      </w:r>
      <w:r>
        <w:rPr>
          <w:color w:val="231F20"/>
          <w:w w:val="105"/>
        </w:rPr>
        <w:t>challenging</w:t>
      </w:r>
      <w:r>
        <w:rPr>
          <w:color w:val="231F20"/>
          <w:spacing w:val="-2"/>
          <w:w w:val="105"/>
        </w:rPr>
        <w:t> </w:t>
      </w:r>
      <w:r>
        <w:rPr>
          <w:color w:val="231F20"/>
          <w:w w:val="105"/>
        </w:rPr>
        <w:t>in</w:t>
      </w:r>
      <w:r>
        <w:rPr>
          <w:color w:val="231F20"/>
          <w:spacing w:val="-2"/>
          <w:w w:val="105"/>
        </w:rPr>
        <w:t> </w:t>
      </w:r>
      <w:r>
        <w:rPr>
          <w:color w:val="231F20"/>
          <w:w w:val="105"/>
        </w:rPr>
        <w:t>recent</w:t>
      </w:r>
      <w:r>
        <w:rPr>
          <w:color w:val="231F20"/>
          <w:spacing w:val="-2"/>
          <w:w w:val="105"/>
        </w:rPr>
        <w:t> </w:t>
      </w:r>
      <w:r>
        <w:rPr>
          <w:color w:val="231F20"/>
          <w:w w:val="105"/>
        </w:rPr>
        <w:t>times, </w:t>
      </w:r>
      <w:r>
        <w:rPr>
          <w:color w:val="231F20"/>
        </w:rPr>
        <w:t>showed that amid myriad uncertainties in the global </w:t>
      </w:r>
      <w:r>
        <w:rPr>
          <w:color w:val="231F20"/>
          <w:w w:val="105"/>
        </w:rPr>
        <w:t>environment</w:t>
      </w:r>
      <w:r>
        <w:rPr>
          <w:color w:val="231F20"/>
          <w:w w:val="105"/>
        </w:rPr>
        <w:t> </w:t>
      </w:r>
      <w:r>
        <w:rPr>
          <w:color w:val="231F20"/>
          <w:w w:val="115"/>
        </w:rPr>
        <w:t>-</w:t>
      </w:r>
      <w:r>
        <w:rPr>
          <w:color w:val="231F20"/>
          <w:w w:val="115"/>
        </w:rPr>
        <w:t> </w:t>
      </w:r>
      <w:r>
        <w:rPr>
          <w:color w:val="231F20"/>
          <w:w w:val="105"/>
        </w:rPr>
        <w:t>marked</w:t>
      </w:r>
      <w:r>
        <w:rPr>
          <w:color w:val="231F20"/>
          <w:w w:val="105"/>
        </w:rPr>
        <w:t> by</w:t>
      </w:r>
      <w:r>
        <w:rPr>
          <w:color w:val="231F20"/>
          <w:w w:val="105"/>
        </w:rPr>
        <w:t> geopolitical</w:t>
      </w:r>
      <w:r>
        <w:rPr>
          <w:color w:val="231F20"/>
          <w:w w:val="105"/>
        </w:rPr>
        <w:t> conflicts, trade</w:t>
      </w:r>
      <w:r>
        <w:rPr>
          <w:color w:val="231F20"/>
          <w:w w:val="105"/>
        </w:rPr>
        <w:t> wars,</w:t>
      </w:r>
      <w:r>
        <w:rPr>
          <w:color w:val="231F20"/>
          <w:w w:val="105"/>
        </w:rPr>
        <w:t> transformative</w:t>
      </w:r>
      <w:r>
        <w:rPr>
          <w:color w:val="231F20"/>
          <w:w w:val="105"/>
        </w:rPr>
        <w:t> technologies,</w:t>
      </w:r>
      <w:r>
        <w:rPr>
          <w:color w:val="231F20"/>
          <w:w w:val="105"/>
        </w:rPr>
        <w:t> volatility in</w:t>
      </w:r>
      <w:r>
        <w:rPr>
          <w:color w:val="231F20"/>
          <w:w w:val="105"/>
        </w:rPr>
        <w:t> asset</w:t>
      </w:r>
      <w:r>
        <w:rPr>
          <w:color w:val="231F20"/>
          <w:w w:val="105"/>
        </w:rPr>
        <w:t> prices</w:t>
      </w:r>
      <w:r>
        <w:rPr>
          <w:color w:val="231F20"/>
          <w:w w:val="105"/>
        </w:rPr>
        <w:t> and</w:t>
      </w:r>
      <w:r>
        <w:rPr>
          <w:color w:val="231F20"/>
          <w:w w:val="105"/>
        </w:rPr>
        <w:t> portfolio</w:t>
      </w:r>
      <w:r>
        <w:rPr>
          <w:color w:val="231F20"/>
          <w:w w:val="105"/>
        </w:rPr>
        <w:t> flows</w:t>
      </w:r>
      <w:r>
        <w:rPr>
          <w:color w:val="231F20"/>
          <w:w w:val="105"/>
        </w:rPr>
        <w:t> </w:t>
      </w:r>
      <w:r>
        <w:rPr>
          <w:color w:val="231F20"/>
          <w:w w:val="115"/>
        </w:rPr>
        <w:t>-</w:t>
      </w:r>
      <w:r>
        <w:rPr>
          <w:color w:val="231F20"/>
          <w:w w:val="115"/>
        </w:rPr>
        <w:t> </w:t>
      </w:r>
      <w:r>
        <w:rPr>
          <w:color w:val="231F20"/>
          <w:w w:val="105"/>
        </w:rPr>
        <w:t>our</w:t>
      </w:r>
      <w:r>
        <w:rPr>
          <w:color w:val="231F20"/>
          <w:w w:val="105"/>
        </w:rPr>
        <w:t> markets possess the institutional resilience to remain well-functioning</w:t>
      </w:r>
      <w:r>
        <w:rPr>
          <w:color w:val="231F20"/>
          <w:w w:val="105"/>
        </w:rPr>
        <w:t> and</w:t>
      </w:r>
      <w:r>
        <w:rPr>
          <w:color w:val="231F20"/>
          <w:w w:val="105"/>
        </w:rPr>
        <w:t> trustworthy.</w:t>
      </w:r>
      <w:r>
        <w:rPr>
          <w:color w:val="231F20"/>
          <w:w w:val="105"/>
        </w:rPr>
        <w:t> The</w:t>
      </w:r>
      <w:r>
        <w:rPr>
          <w:color w:val="231F20"/>
          <w:w w:val="105"/>
        </w:rPr>
        <w:t> true</w:t>
      </w:r>
      <w:r>
        <w:rPr>
          <w:color w:val="231F20"/>
          <w:w w:val="105"/>
        </w:rPr>
        <w:t> strength</w:t>
      </w:r>
      <w:r>
        <w:rPr>
          <w:color w:val="231F20"/>
          <w:w w:val="105"/>
        </w:rPr>
        <w:t> of</w:t>
      </w:r>
      <w:r>
        <w:rPr>
          <w:color w:val="231F20"/>
          <w:spacing w:val="80"/>
          <w:w w:val="105"/>
        </w:rPr>
        <w:t> </w:t>
      </w:r>
      <w:r>
        <w:rPr>
          <w:color w:val="231F20"/>
          <w:w w:val="105"/>
        </w:rPr>
        <w:t>a well regulated market lies not in the absence of volatility,</w:t>
      </w:r>
      <w:r>
        <w:rPr>
          <w:color w:val="231F20"/>
          <w:w w:val="105"/>
        </w:rPr>
        <w:t> but</w:t>
      </w:r>
      <w:r>
        <w:rPr>
          <w:color w:val="231F20"/>
          <w:w w:val="105"/>
        </w:rPr>
        <w:t> in</w:t>
      </w:r>
      <w:r>
        <w:rPr>
          <w:color w:val="231F20"/>
          <w:w w:val="105"/>
        </w:rPr>
        <w:t> its</w:t>
      </w:r>
      <w:r>
        <w:rPr>
          <w:color w:val="231F20"/>
          <w:w w:val="105"/>
        </w:rPr>
        <w:t> ability</w:t>
      </w:r>
      <w:r>
        <w:rPr>
          <w:color w:val="231F20"/>
          <w:w w:val="105"/>
        </w:rPr>
        <w:t> to</w:t>
      </w:r>
      <w:r>
        <w:rPr>
          <w:color w:val="231F20"/>
          <w:w w:val="105"/>
        </w:rPr>
        <w:t> ensure</w:t>
      </w:r>
      <w:r>
        <w:rPr>
          <w:color w:val="231F20"/>
          <w:w w:val="105"/>
        </w:rPr>
        <w:t> orderly</w:t>
      </w:r>
      <w:r>
        <w:rPr>
          <w:color w:val="231F20"/>
          <w:w w:val="105"/>
        </w:rPr>
        <w:t> price </w:t>
      </w:r>
      <w:r>
        <w:rPr>
          <w:color w:val="231F20"/>
        </w:rPr>
        <w:t>discovery, safeguard investor interests and facilitate </w:t>
      </w:r>
      <w:r>
        <w:rPr>
          <w:color w:val="231F20"/>
          <w:w w:val="105"/>
        </w:rPr>
        <w:t>efficient</w:t>
      </w:r>
      <w:r>
        <w:rPr>
          <w:color w:val="231F20"/>
          <w:spacing w:val="-17"/>
          <w:w w:val="105"/>
        </w:rPr>
        <w:t> </w:t>
      </w:r>
      <w:r>
        <w:rPr>
          <w:color w:val="231F20"/>
          <w:w w:val="105"/>
        </w:rPr>
        <w:t>capital</w:t>
      </w:r>
      <w:r>
        <w:rPr>
          <w:color w:val="231F20"/>
          <w:spacing w:val="-16"/>
          <w:w w:val="105"/>
        </w:rPr>
        <w:t> </w:t>
      </w:r>
      <w:r>
        <w:rPr>
          <w:color w:val="231F20"/>
          <w:w w:val="105"/>
        </w:rPr>
        <w:t>formation.</w:t>
      </w:r>
      <w:r>
        <w:rPr>
          <w:color w:val="231F20"/>
          <w:spacing w:val="-16"/>
          <w:w w:val="105"/>
        </w:rPr>
        <w:t> </w:t>
      </w:r>
      <w:r>
        <w:rPr>
          <w:color w:val="231F20"/>
          <w:w w:val="105"/>
        </w:rPr>
        <w:t>Measured</w:t>
      </w:r>
      <w:r>
        <w:rPr>
          <w:color w:val="231F20"/>
          <w:spacing w:val="-16"/>
          <w:w w:val="105"/>
        </w:rPr>
        <w:t> </w:t>
      </w:r>
      <w:r>
        <w:rPr>
          <w:color w:val="231F20"/>
          <w:w w:val="105"/>
        </w:rPr>
        <w:t>against</w:t>
      </w:r>
      <w:r>
        <w:rPr>
          <w:color w:val="231F20"/>
          <w:spacing w:val="-16"/>
          <w:w w:val="105"/>
        </w:rPr>
        <w:t> </w:t>
      </w:r>
      <w:r>
        <w:rPr>
          <w:color w:val="231F20"/>
          <w:w w:val="105"/>
        </w:rPr>
        <w:t>these parameters,</w:t>
      </w:r>
      <w:r>
        <w:rPr>
          <w:color w:val="231F20"/>
          <w:w w:val="105"/>
        </w:rPr>
        <w:t> India’s</w:t>
      </w:r>
      <w:r>
        <w:rPr>
          <w:color w:val="231F20"/>
          <w:w w:val="105"/>
        </w:rPr>
        <w:t> capital</w:t>
      </w:r>
      <w:r>
        <w:rPr>
          <w:color w:val="231F20"/>
          <w:w w:val="105"/>
        </w:rPr>
        <w:t> markets</w:t>
      </w:r>
      <w:r>
        <w:rPr>
          <w:color w:val="231F20"/>
          <w:w w:val="105"/>
        </w:rPr>
        <w:t> continued</w:t>
      </w:r>
      <w:r>
        <w:rPr>
          <w:color w:val="231F20"/>
          <w:w w:val="105"/>
        </w:rPr>
        <w:t> to deepen</w:t>
      </w:r>
      <w:r>
        <w:rPr>
          <w:color w:val="231F20"/>
          <w:spacing w:val="-11"/>
          <w:w w:val="105"/>
        </w:rPr>
        <w:t> </w:t>
      </w:r>
      <w:r>
        <w:rPr>
          <w:color w:val="231F20"/>
          <w:w w:val="105"/>
        </w:rPr>
        <w:t>in</w:t>
      </w:r>
      <w:r>
        <w:rPr>
          <w:color w:val="231F20"/>
          <w:spacing w:val="-11"/>
          <w:w w:val="105"/>
        </w:rPr>
        <w:t> </w:t>
      </w:r>
      <w:r>
        <w:rPr>
          <w:color w:val="231F20"/>
          <w:w w:val="105"/>
        </w:rPr>
        <w:t>both</w:t>
      </w:r>
      <w:r>
        <w:rPr>
          <w:color w:val="231F20"/>
          <w:spacing w:val="-11"/>
          <w:w w:val="105"/>
        </w:rPr>
        <w:t> </w:t>
      </w:r>
      <w:r>
        <w:rPr>
          <w:color w:val="231F20"/>
          <w:w w:val="105"/>
        </w:rPr>
        <w:t>scale</w:t>
      </w:r>
      <w:r>
        <w:rPr>
          <w:color w:val="231F20"/>
          <w:spacing w:val="-11"/>
          <w:w w:val="105"/>
        </w:rPr>
        <w:t> </w:t>
      </w:r>
      <w:r>
        <w:rPr>
          <w:color w:val="231F20"/>
          <w:w w:val="105"/>
        </w:rPr>
        <w:t>and</w:t>
      </w:r>
      <w:r>
        <w:rPr>
          <w:color w:val="231F20"/>
          <w:spacing w:val="-11"/>
          <w:w w:val="105"/>
        </w:rPr>
        <w:t> </w:t>
      </w:r>
      <w:r>
        <w:rPr>
          <w:color w:val="231F20"/>
          <w:w w:val="105"/>
        </w:rPr>
        <w:t>sophistication</w:t>
      </w:r>
      <w:r>
        <w:rPr>
          <w:color w:val="231F20"/>
          <w:spacing w:val="-11"/>
          <w:w w:val="105"/>
        </w:rPr>
        <w:t> </w:t>
      </w:r>
      <w:r>
        <w:rPr>
          <w:color w:val="231F20"/>
          <w:w w:val="105"/>
        </w:rPr>
        <w:t>during</w:t>
      </w:r>
      <w:r>
        <w:rPr>
          <w:color w:val="231F20"/>
          <w:spacing w:val="-11"/>
          <w:w w:val="105"/>
        </w:rPr>
        <w:t> </w:t>
      </w:r>
      <w:r>
        <w:rPr>
          <w:color w:val="231F20"/>
          <w:w w:val="105"/>
        </w:rPr>
        <w:t>the year.</w:t>
      </w:r>
      <w:r>
        <w:rPr>
          <w:color w:val="231F20"/>
          <w:w w:val="105"/>
        </w:rPr>
        <w:t> As</w:t>
      </w:r>
      <w:r>
        <w:rPr>
          <w:color w:val="231F20"/>
          <w:w w:val="105"/>
        </w:rPr>
        <w:t> we</w:t>
      </w:r>
      <w:r>
        <w:rPr>
          <w:color w:val="231F20"/>
          <w:w w:val="105"/>
        </w:rPr>
        <w:t> progress</w:t>
      </w:r>
      <w:r>
        <w:rPr>
          <w:color w:val="231F20"/>
          <w:w w:val="105"/>
        </w:rPr>
        <w:t> towards</w:t>
      </w:r>
      <w:r>
        <w:rPr>
          <w:color w:val="231F20"/>
          <w:w w:val="105"/>
        </w:rPr>
        <w:t> the</w:t>
      </w:r>
      <w:r>
        <w:rPr>
          <w:color w:val="231F20"/>
          <w:w w:val="105"/>
        </w:rPr>
        <w:t> goal</w:t>
      </w:r>
      <w:r>
        <w:rPr>
          <w:color w:val="231F20"/>
          <w:w w:val="105"/>
        </w:rPr>
        <w:t> of</w:t>
      </w:r>
      <w:r>
        <w:rPr>
          <w:color w:val="231F20"/>
          <w:w w:val="105"/>
        </w:rPr>
        <w:t> Viksit </w:t>
      </w:r>
      <w:r>
        <w:rPr>
          <w:color w:val="231F20"/>
        </w:rPr>
        <w:t>Bharat 2047, the Indian securities market serves as a vital engine of national progress, anchored by four </w:t>
      </w:r>
      <w:r>
        <w:rPr>
          <w:color w:val="231F20"/>
          <w:w w:val="105"/>
        </w:rPr>
        <w:t>enduring</w:t>
      </w:r>
      <w:r>
        <w:rPr>
          <w:color w:val="231F20"/>
          <w:spacing w:val="-12"/>
          <w:w w:val="105"/>
        </w:rPr>
        <w:t> </w:t>
      </w:r>
      <w:r>
        <w:rPr>
          <w:color w:val="231F20"/>
          <w:w w:val="105"/>
        </w:rPr>
        <w:t>principles:</w:t>
      </w:r>
      <w:r>
        <w:rPr>
          <w:color w:val="231F20"/>
          <w:spacing w:val="-12"/>
          <w:w w:val="105"/>
        </w:rPr>
        <w:t> </w:t>
      </w:r>
      <w:r>
        <w:rPr>
          <w:color w:val="231F20"/>
          <w:w w:val="105"/>
        </w:rPr>
        <w:t>trust,</w:t>
      </w:r>
      <w:r>
        <w:rPr>
          <w:color w:val="231F20"/>
          <w:spacing w:val="-12"/>
          <w:w w:val="105"/>
        </w:rPr>
        <w:t> </w:t>
      </w:r>
      <w:r>
        <w:rPr>
          <w:color w:val="231F20"/>
          <w:w w:val="105"/>
        </w:rPr>
        <w:t>transparency,</w:t>
      </w:r>
      <w:r>
        <w:rPr>
          <w:color w:val="231F20"/>
          <w:spacing w:val="-12"/>
          <w:w w:val="105"/>
        </w:rPr>
        <w:t> </w:t>
      </w:r>
      <w:r>
        <w:rPr>
          <w:color w:val="231F20"/>
          <w:w w:val="105"/>
        </w:rPr>
        <w:t>teamwork and technology.</w:t>
      </w:r>
    </w:p>
    <w:p>
      <w:pPr>
        <w:pStyle w:val="BodyText"/>
        <w:spacing w:line="304" w:lineRule="auto" w:before="192"/>
      </w:pPr>
      <w:r>
        <w:rPr>
          <w:color w:val="231F20"/>
          <w:w w:val="105"/>
        </w:rPr>
        <w:t>In pursuit of this vision, our regulatory philosophy has</w:t>
      </w:r>
      <w:r>
        <w:rPr>
          <w:color w:val="231F20"/>
          <w:w w:val="105"/>
        </w:rPr>
        <w:t> transitioned</w:t>
      </w:r>
      <w:r>
        <w:rPr>
          <w:color w:val="231F20"/>
          <w:w w:val="105"/>
        </w:rPr>
        <w:t> this</w:t>
      </w:r>
      <w:r>
        <w:rPr>
          <w:color w:val="231F20"/>
          <w:w w:val="105"/>
        </w:rPr>
        <w:t> year</w:t>
      </w:r>
      <w:r>
        <w:rPr>
          <w:color w:val="231F20"/>
          <w:w w:val="105"/>
        </w:rPr>
        <w:t> towards</w:t>
      </w:r>
      <w:r>
        <w:rPr>
          <w:color w:val="231F20"/>
          <w:w w:val="105"/>
        </w:rPr>
        <w:t> resilience</w:t>
      </w:r>
      <w:r>
        <w:rPr>
          <w:color w:val="231F20"/>
          <w:w w:val="105"/>
        </w:rPr>
        <w:t> by design</w:t>
      </w:r>
      <w:r>
        <w:rPr>
          <w:color w:val="231F20"/>
          <w:w w:val="105"/>
        </w:rPr>
        <w:t> </w:t>
      </w:r>
      <w:r>
        <w:rPr>
          <w:color w:val="231F20"/>
          <w:w w:val="115"/>
        </w:rPr>
        <w:t>-</w:t>
      </w:r>
      <w:r>
        <w:rPr>
          <w:color w:val="231F20"/>
          <w:w w:val="115"/>
        </w:rPr>
        <w:t> </w:t>
      </w:r>
      <w:r>
        <w:rPr>
          <w:color w:val="231F20"/>
          <w:w w:val="105"/>
        </w:rPr>
        <w:t>embedding</w:t>
      </w:r>
      <w:r>
        <w:rPr>
          <w:color w:val="231F20"/>
          <w:w w:val="105"/>
        </w:rPr>
        <w:t> structural</w:t>
      </w:r>
      <w:r>
        <w:rPr>
          <w:color w:val="231F20"/>
          <w:w w:val="105"/>
        </w:rPr>
        <w:t> integrity</w:t>
      </w:r>
      <w:r>
        <w:rPr>
          <w:color w:val="231F20"/>
          <w:w w:val="105"/>
        </w:rPr>
        <w:t> through optimum</w:t>
      </w:r>
      <w:r>
        <w:rPr>
          <w:color w:val="231F20"/>
          <w:w w:val="105"/>
        </w:rPr>
        <w:t> regulation</w:t>
      </w:r>
      <w:r>
        <w:rPr>
          <w:color w:val="231F20"/>
          <w:w w:val="105"/>
        </w:rPr>
        <w:t> and</w:t>
      </w:r>
      <w:r>
        <w:rPr>
          <w:color w:val="231F20"/>
          <w:w w:val="105"/>
        </w:rPr>
        <w:t> pioneering</w:t>
      </w:r>
      <w:r>
        <w:rPr>
          <w:color w:val="231F20"/>
          <w:w w:val="105"/>
        </w:rPr>
        <w:t> AI-driven oversight.</w:t>
      </w:r>
      <w:r>
        <w:rPr>
          <w:color w:val="231F20"/>
          <w:spacing w:val="-1"/>
          <w:w w:val="105"/>
        </w:rPr>
        <w:t> </w:t>
      </w:r>
      <w:r>
        <w:rPr>
          <w:color w:val="231F20"/>
          <w:w w:val="105"/>
        </w:rPr>
        <w:t>By</w:t>
      </w:r>
      <w:r>
        <w:rPr>
          <w:color w:val="231F20"/>
          <w:spacing w:val="-1"/>
          <w:w w:val="105"/>
        </w:rPr>
        <w:t> </w:t>
      </w:r>
      <w:r>
        <w:rPr>
          <w:color w:val="231F20"/>
          <w:w w:val="105"/>
        </w:rPr>
        <w:t>modernizing</w:t>
      </w:r>
      <w:r>
        <w:rPr>
          <w:color w:val="231F20"/>
          <w:spacing w:val="-1"/>
          <w:w w:val="105"/>
        </w:rPr>
        <w:t> </w:t>
      </w:r>
      <w:r>
        <w:rPr>
          <w:color w:val="231F20"/>
          <w:w w:val="105"/>
        </w:rPr>
        <w:t>legacy</w:t>
      </w:r>
      <w:r>
        <w:rPr>
          <w:color w:val="231F20"/>
          <w:spacing w:val="-1"/>
          <w:w w:val="105"/>
        </w:rPr>
        <w:t> </w:t>
      </w:r>
      <w:r>
        <w:rPr>
          <w:color w:val="231F20"/>
          <w:w w:val="105"/>
        </w:rPr>
        <w:t>frameworks</w:t>
      </w:r>
      <w:r>
        <w:rPr>
          <w:color w:val="231F20"/>
          <w:w w:val="105"/>
        </w:rPr>
        <w:t> </w:t>
      </w:r>
      <w:r>
        <w:rPr>
          <w:color w:val="231F20"/>
          <w:spacing w:val="-5"/>
          <w:w w:val="105"/>
        </w:rPr>
        <w:t>and</w:t>
      </w:r>
    </w:p>
    <w:p>
      <w:pPr>
        <w:pStyle w:val="BodyText"/>
        <w:spacing w:line="300" w:lineRule="auto" w:before="69"/>
        <w:ind w:right="126"/>
      </w:pPr>
      <w:r>
        <w:rPr/>
        <w:br w:type="column"/>
      </w:r>
      <w:r>
        <w:rPr>
          <w:color w:val="231F20"/>
        </w:rPr>
        <w:t>deploying sophisticated supervisory technology, SEBI has not only simplified the path for market participants but has also fortified the trust that is the bedrock of our financial future. This year’s reforms represent a strategic leap from building market access to ensuring market endurance in an era of rapid technological and geopolitical evolution.</w:t>
      </w:r>
    </w:p>
    <w:p>
      <w:pPr>
        <w:pStyle w:val="BodyText"/>
        <w:spacing w:before="166"/>
        <w:ind w:right="0"/>
      </w:pPr>
      <w:r>
        <w:rPr>
          <w:color w:val="231F20"/>
        </w:rPr>
        <w:t>Capital</w:t>
      </w:r>
      <w:r>
        <w:rPr>
          <w:color w:val="231F20"/>
          <w:spacing w:val="-5"/>
        </w:rPr>
        <w:t> </w:t>
      </w:r>
      <w:r>
        <w:rPr>
          <w:color w:val="231F20"/>
        </w:rPr>
        <w:t>Formation:</w:t>
      </w:r>
      <w:r>
        <w:rPr>
          <w:color w:val="231F20"/>
          <w:spacing w:val="-4"/>
        </w:rPr>
        <w:t> </w:t>
      </w:r>
      <w:r>
        <w:rPr>
          <w:color w:val="231F20"/>
        </w:rPr>
        <w:t>Financing</w:t>
      </w:r>
      <w:r>
        <w:rPr>
          <w:color w:val="231F20"/>
          <w:spacing w:val="-4"/>
        </w:rPr>
        <w:t> </w:t>
      </w:r>
      <w:r>
        <w:rPr>
          <w:color w:val="231F20"/>
        </w:rPr>
        <w:t>the</w:t>
      </w:r>
      <w:r>
        <w:rPr>
          <w:color w:val="231F20"/>
          <w:spacing w:val="-5"/>
        </w:rPr>
        <w:t> </w:t>
      </w:r>
      <w:r>
        <w:rPr>
          <w:color w:val="231F20"/>
        </w:rPr>
        <w:t>National</w:t>
      </w:r>
      <w:r>
        <w:rPr>
          <w:color w:val="231F20"/>
          <w:spacing w:val="-4"/>
        </w:rPr>
        <w:t> </w:t>
      </w:r>
      <w:r>
        <w:rPr>
          <w:color w:val="231F20"/>
          <w:spacing w:val="-2"/>
        </w:rPr>
        <w:t>Vision</w:t>
      </w:r>
    </w:p>
    <w:p>
      <w:pPr>
        <w:pStyle w:val="BodyText"/>
        <w:spacing w:line="300" w:lineRule="auto" w:before="233"/>
        <w:ind w:right="125"/>
      </w:pPr>
      <w:r>
        <w:rPr>
          <w:color w:val="231F20"/>
        </w:rPr>
        <w:t>India’s ambition of becoming a developed economy by 2047 places extraordinary demands on its</w:t>
      </w:r>
      <w:r>
        <w:rPr>
          <w:color w:val="231F20"/>
          <w:spacing w:val="80"/>
        </w:rPr>
        <w:t> </w:t>
      </w:r>
      <w:r>
        <w:rPr>
          <w:color w:val="231F20"/>
        </w:rPr>
        <w:t>capital formation ecosystem. The investments required</w:t>
      </w:r>
      <w:r>
        <w:rPr>
          <w:color w:val="231F20"/>
          <w:spacing w:val="40"/>
        </w:rPr>
        <w:t> </w:t>
      </w:r>
      <w:r>
        <w:rPr>
          <w:color w:val="231F20"/>
        </w:rPr>
        <w:t>across</w:t>
      </w:r>
      <w:r>
        <w:rPr>
          <w:color w:val="231F20"/>
          <w:spacing w:val="40"/>
        </w:rPr>
        <w:t> </w:t>
      </w:r>
      <w:r>
        <w:rPr>
          <w:color w:val="231F20"/>
        </w:rPr>
        <w:t>infrastructure,</w:t>
      </w:r>
      <w:r>
        <w:rPr>
          <w:color w:val="231F20"/>
          <w:spacing w:val="40"/>
        </w:rPr>
        <w:t> </w:t>
      </w:r>
      <w:r>
        <w:rPr>
          <w:color w:val="231F20"/>
        </w:rPr>
        <w:t>energy</w:t>
      </w:r>
      <w:r>
        <w:rPr>
          <w:color w:val="231F20"/>
          <w:spacing w:val="40"/>
        </w:rPr>
        <w:t> </w:t>
      </w:r>
      <w:r>
        <w:rPr>
          <w:color w:val="231F20"/>
        </w:rPr>
        <w:t>transition and manufacturing capacity cannot be met through the banking system alone. Consequently, our policy focus</w:t>
      </w:r>
      <w:r>
        <w:rPr>
          <w:color w:val="231F20"/>
          <w:spacing w:val="-10"/>
        </w:rPr>
        <w:t> </w:t>
      </w:r>
      <w:r>
        <w:rPr>
          <w:color w:val="231F20"/>
        </w:rPr>
        <w:t>this</w:t>
      </w:r>
      <w:r>
        <w:rPr>
          <w:color w:val="231F20"/>
          <w:spacing w:val="-10"/>
        </w:rPr>
        <w:t> </w:t>
      </w:r>
      <w:r>
        <w:rPr>
          <w:color w:val="231F20"/>
        </w:rPr>
        <w:t>year</w:t>
      </w:r>
      <w:r>
        <w:rPr>
          <w:color w:val="231F20"/>
          <w:spacing w:val="-10"/>
        </w:rPr>
        <w:t> </w:t>
      </w:r>
      <w:r>
        <w:rPr>
          <w:color w:val="231F20"/>
        </w:rPr>
        <w:t>has</w:t>
      </w:r>
      <w:r>
        <w:rPr>
          <w:color w:val="231F20"/>
          <w:spacing w:val="-10"/>
        </w:rPr>
        <w:t> </w:t>
      </w:r>
      <w:r>
        <w:rPr>
          <w:color w:val="231F20"/>
        </w:rPr>
        <w:t>been</w:t>
      </w:r>
      <w:r>
        <w:rPr>
          <w:color w:val="231F20"/>
          <w:spacing w:val="-10"/>
        </w:rPr>
        <w:t> </w:t>
      </w:r>
      <w:r>
        <w:rPr>
          <w:color w:val="231F20"/>
        </w:rPr>
        <w:t>to</w:t>
      </w:r>
      <w:r>
        <w:rPr>
          <w:color w:val="231F20"/>
          <w:spacing w:val="-10"/>
        </w:rPr>
        <w:t> </w:t>
      </w:r>
      <w:r>
        <w:rPr>
          <w:color w:val="231F20"/>
        </w:rPr>
        <w:t>ensure</w:t>
      </w:r>
      <w:r>
        <w:rPr>
          <w:color w:val="231F20"/>
          <w:spacing w:val="-10"/>
        </w:rPr>
        <w:t> </w:t>
      </w:r>
      <w:r>
        <w:rPr>
          <w:color w:val="231F20"/>
        </w:rPr>
        <w:t>that</w:t>
      </w:r>
      <w:r>
        <w:rPr>
          <w:color w:val="231F20"/>
          <w:spacing w:val="-10"/>
        </w:rPr>
        <w:t> </w:t>
      </w:r>
      <w:r>
        <w:rPr>
          <w:color w:val="231F20"/>
        </w:rPr>
        <w:t>the</w:t>
      </w:r>
      <w:r>
        <w:rPr>
          <w:color w:val="231F20"/>
          <w:spacing w:val="-10"/>
        </w:rPr>
        <w:t> </w:t>
      </w:r>
      <w:r>
        <w:rPr>
          <w:color w:val="231F20"/>
        </w:rPr>
        <w:t>corporate bond market, the equity market and the alternative investment ecosystem serve as indispensable complements to traditional financing.</w:t>
      </w:r>
    </w:p>
    <w:p>
      <w:pPr>
        <w:pStyle w:val="BodyText"/>
        <w:spacing w:line="300" w:lineRule="auto" w:before="165"/>
        <w:ind w:right="125"/>
      </w:pPr>
      <w:r>
        <w:rPr>
          <w:color w:val="231F20"/>
        </w:rPr>
        <w:t>The primary equity market demonstrated continued dynamism, with India ranking first globally in the number of IPOs and third in terms of fund raised.</w:t>
      </w:r>
      <w:r>
        <w:rPr>
          <w:color w:val="231F20"/>
          <w:spacing w:val="80"/>
        </w:rPr>
        <w:t> </w:t>
      </w:r>
      <w:r>
        <w:rPr>
          <w:color w:val="231F20"/>
        </w:rPr>
        <w:t>To sustain this momentum, we restructured the minimum public offer framework, calibrating public float requirements to issue-size. By extending the timeline for the largest issuers to achieve 25 per cent</w:t>
      </w:r>
      <w:r>
        <w:rPr>
          <w:color w:val="231F20"/>
          <w:spacing w:val="40"/>
        </w:rPr>
        <w:t> </w:t>
      </w:r>
      <w:r>
        <w:rPr>
          <w:color w:val="231F20"/>
        </w:rPr>
        <w:t>minimum</w:t>
      </w:r>
      <w:r>
        <w:rPr>
          <w:color w:val="231F20"/>
          <w:spacing w:val="40"/>
        </w:rPr>
        <w:t> </w:t>
      </w:r>
      <w:r>
        <w:rPr>
          <w:color w:val="231F20"/>
        </w:rPr>
        <w:t>public</w:t>
      </w:r>
      <w:r>
        <w:rPr>
          <w:color w:val="231F20"/>
          <w:spacing w:val="40"/>
        </w:rPr>
        <w:t> </w:t>
      </w:r>
      <w:r>
        <w:rPr>
          <w:color w:val="231F20"/>
        </w:rPr>
        <w:t>shareholding</w:t>
      </w:r>
      <w:r>
        <w:rPr>
          <w:color w:val="231F20"/>
          <w:spacing w:val="40"/>
        </w:rPr>
        <w:t> </w:t>
      </w:r>
      <w:r>
        <w:rPr>
          <w:color w:val="231F20"/>
        </w:rPr>
        <w:t>to</w:t>
      </w:r>
      <w:r>
        <w:rPr>
          <w:color w:val="231F20"/>
          <w:spacing w:val="40"/>
        </w:rPr>
        <w:t> </w:t>
      </w:r>
      <w:r>
        <w:rPr>
          <w:color w:val="231F20"/>
        </w:rPr>
        <w:t>ten</w:t>
      </w:r>
      <w:r>
        <w:rPr>
          <w:color w:val="231F20"/>
          <w:spacing w:val="40"/>
        </w:rPr>
        <w:t> </w:t>
      </w:r>
      <w:r>
        <w:rPr>
          <w:color w:val="231F20"/>
        </w:rPr>
        <w:t>years, we have ensured that large-scale enterprises can access public capital, without facing challenges of regular dilution post listing. Similarly, by allowing founders of new-age companies to retain ESOPs granted prior to an IPO, we have maintained the alignment of long-term incentives while preserving transparency for public shareholders.</w:t>
      </w:r>
    </w:p>
    <w:p>
      <w:pPr>
        <w:pStyle w:val="BodyText"/>
        <w:spacing w:line="300" w:lineRule="auto"/>
        <w:ind w:right="124"/>
      </w:pPr>
      <w:r>
        <w:rPr>
          <w:color w:val="231F20"/>
          <w:w w:val="105"/>
        </w:rPr>
        <w:t>In</w:t>
      </w:r>
      <w:r>
        <w:rPr>
          <w:color w:val="231F20"/>
          <w:w w:val="105"/>
        </w:rPr>
        <w:t> the</w:t>
      </w:r>
      <w:r>
        <w:rPr>
          <w:color w:val="231F20"/>
          <w:w w:val="105"/>
        </w:rPr>
        <w:t> alternative</w:t>
      </w:r>
      <w:r>
        <w:rPr>
          <w:color w:val="231F20"/>
          <w:w w:val="105"/>
        </w:rPr>
        <w:t> investment</w:t>
      </w:r>
      <w:r>
        <w:rPr>
          <w:color w:val="231F20"/>
          <w:w w:val="105"/>
        </w:rPr>
        <w:t> space,</w:t>
      </w:r>
      <w:r>
        <w:rPr>
          <w:color w:val="231F20"/>
          <w:w w:val="105"/>
        </w:rPr>
        <w:t> AIFs</w:t>
      </w:r>
      <w:r>
        <w:rPr>
          <w:color w:val="231F20"/>
          <w:w w:val="105"/>
        </w:rPr>
        <w:t> have become</w:t>
      </w:r>
      <w:r>
        <w:rPr>
          <w:color w:val="231F20"/>
          <w:w w:val="105"/>
        </w:rPr>
        <w:t> a</w:t>
      </w:r>
      <w:r>
        <w:rPr>
          <w:color w:val="231F20"/>
          <w:w w:val="105"/>
        </w:rPr>
        <w:t> structurally</w:t>
      </w:r>
      <w:r>
        <w:rPr>
          <w:color w:val="231F20"/>
          <w:w w:val="105"/>
        </w:rPr>
        <w:t> important</w:t>
      </w:r>
      <w:r>
        <w:rPr>
          <w:color w:val="231F20"/>
          <w:w w:val="105"/>
        </w:rPr>
        <w:t> component</w:t>
      </w:r>
      <w:r>
        <w:rPr>
          <w:color w:val="231F20"/>
          <w:w w:val="105"/>
        </w:rPr>
        <w:t> of India’s</w:t>
      </w:r>
      <w:r>
        <w:rPr>
          <w:color w:val="231F20"/>
          <w:spacing w:val="-3"/>
          <w:w w:val="105"/>
        </w:rPr>
        <w:t> </w:t>
      </w:r>
      <w:r>
        <w:rPr>
          <w:color w:val="231F20"/>
          <w:w w:val="105"/>
        </w:rPr>
        <w:t>capital</w:t>
      </w:r>
      <w:r>
        <w:rPr>
          <w:color w:val="231F20"/>
          <w:spacing w:val="-3"/>
          <w:w w:val="105"/>
        </w:rPr>
        <w:t> </w:t>
      </w:r>
      <w:r>
        <w:rPr>
          <w:color w:val="231F20"/>
          <w:w w:val="105"/>
        </w:rPr>
        <w:t>market.</w:t>
      </w:r>
      <w:r>
        <w:rPr>
          <w:color w:val="231F20"/>
          <w:spacing w:val="-3"/>
          <w:w w:val="105"/>
        </w:rPr>
        <w:t> </w:t>
      </w:r>
      <w:r>
        <w:rPr>
          <w:color w:val="231F20"/>
          <w:w w:val="105"/>
        </w:rPr>
        <w:t>A</w:t>
      </w:r>
      <w:r>
        <w:rPr>
          <w:color w:val="231F20"/>
          <w:spacing w:val="-3"/>
          <w:w w:val="105"/>
        </w:rPr>
        <w:t> </w:t>
      </w:r>
      <w:r>
        <w:rPr>
          <w:color w:val="231F20"/>
          <w:w w:val="105"/>
        </w:rPr>
        <w:t>new</w:t>
      </w:r>
      <w:r>
        <w:rPr>
          <w:color w:val="231F20"/>
          <w:spacing w:val="-3"/>
          <w:w w:val="105"/>
        </w:rPr>
        <w:t> </w:t>
      </w:r>
      <w:r>
        <w:rPr>
          <w:color w:val="231F20"/>
          <w:w w:val="105"/>
        </w:rPr>
        <w:t>category,</w:t>
      </w:r>
      <w:r>
        <w:rPr>
          <w:color w:val="231F20"/>
          <w:spacing w:val="-3"/>
          <w:w w:val="105"/>
        </w:rPr>
        <w:t> </w:t>
      </w:r>
      <w:r>
        <w:rPr>
          <w:color w:val="231F20"/>
          <w:w w:val="105"/>
        </w:rPr>
        <w:t>accredited </w:t>
      </w:r>
      <w:r>
        <w:rPr>
          <w:color w:val="231F20"/>
          <w:spacing w:val="-2"/>
          <w:w w:val="105"/>
        </w:rPr>
        <w:t>investors</w:t>
      </w:r>
      <w:r>
        <w:rPr>
          <w:color w:val="231F20"/>
          <w:spacing w:val="-14"/>
          <w:w w:val="105"/>
        </w:rPr>
        <w:t> </w:t>
      </w:r>
      <w:r>
        <w:rPr>
          <w:color w:val="231F20"/>
          <w:spacing w:val="-2"/>
          <w:w w:val="110"/>
        </w:rPr>
        <w:t>-</w:t>
      </w:r>
      <w:r>
        <w:rPr>
          <w:color w:val="231F20"/>
          <w:spacing w:val="-15"/>
          <w:w w:val="110"/>
        </w:rPr>
        <w:t> </w:t>
      </w:r>
      <w:r>
        <w:rPr>
          <w:color w:val="231F20"/>
          <w:spacing w:val="-2"/>
          <w:w w:val="105"/>
        </w:rPr>
        <w:t>only</w:t>
      </w:r>
      <w:r>
        <w:rPr>
          <w:color w:val="231F20"/>
          <w:spacing w:val="-13"/>
          <w:w w:val="105"/>
        </w:rPr>
        <w:t> </w:t>
      </w:r>
      <w:r>
        <w:rPr>
          <w:color w:val="231F20"/>
          <w:spacing w:val="-2"/>
          <w:w w:val="105"/>
        </w:rPr>
        <w:t>schemes</w:t>
      </w:r>
      <w:r>
        <w:rPr>
          <w:color w:val="231F20"/>
          <w:spacing w:val="-13"/>
          <w:w w:val="105"/>
        </w:rPr>
        <w:t> </w:t>
      </w:r>
      <w:r>
        <w:rPr>
          <w:color w:val="231F20"/>
          <w:spacing w:val="-2"/>
          <w:w w:val="105"/>
        </w:rPr>
        <w:t>was</w:t>
      </w:r>
      <w:r>
        <w:rPr>
          <w:color w:val="231F20"/>
          <w:spacing w:val="-13"/>
          <w:w w:val="105"/>
        </w:rPr>
        <w:t> </w:t>
      </w:r>
      <w:r>
        <w:rPr>
          <w:color w:val="231F20"/>
          <w:spacing w:val="-2"/>
          <w:w w:val="105"/>
        </w:rPr>
        <w:t>introduced</w:t>
      </w:r>
      <w:r>
        <w:rPr>
          <w:color w:val="231F20"/>
          <w:spacing w:val="-13"/>
          <w:w w:val="105"/>
        </w:rPr>
        <w:t> </w:t>
      </w:r>
      <w:r>
        <w:rPr>
          <w:color w:val="231F20"/>
          <w:spacing w:val="-2"/>
          <w:w w:val="105"/>
        </w:rPr>
        <w:t>to</w:t>
      </w:r>
      <w:r>
        <w:rPr>
          <w:color w:val="231F20"/>
          <w:spacing w:val="-13"/>
          <w:w w:val="105"/>
        </w:rPr>
        <w:t> </w:t>
      </w:r>
      <w:r>
        <w:rPr>
          <w:color w:val="231F20"/>
          <w:spacing w:val="-2"/>
          <w:w w:val="105"/>
        </w:rPr>
        <w:t>provide </w:t>
      </w:r>
      <w:r>
        <w:rPr>
          <w:color w:val="231F20"/>
          <w:w w:val="105"/>
        </w:rPr>
        <w:t>additional</w:t>
      </w:r>
      <w:r>
        <w:rPr>
          <w:color w:val="231F20"/>
          <w:w w:val="105"/>
        </w:rPr>
        <w:t> relaxations</w:t>
      </w:r>
      <w:r>
        <w:rPr>
          <w:color w:val="231F20"/>
          <w:w w:val="105"/>
        </w:rPr>
        <w:t> and</w:t>
      </w:r>
      <w:r>
        <w:rPr>
          <w:color w:val="231F20"/>
          <w:w w:val="105"/>
        </w:rPr>
        <w:t> operational</w:t>
      </w:r>
      <w:r>
        <w:rPr>
          <w:color w:val="231F20"/>
          <w:w w:val="105"/>
        </w:rPr>
        <w:t> flexibilities. The</w:t>
      </w:r>
      <w:r>
        <w:rPr>
          <w:color w:val="231F20"/>
          <w:spacing w:val="-10"/>
          <w:w w:val="105"/>
        </w:rPr>
        <w:t> </w:t>
      </w:r>
      <w:r>
        <w:rPr>
          <w:color w:val="231F20"/>
          <w:w w:val="105"/>
        </w:rPr>
        <w:t>minimum</w:t>
      </w:r>
      <w:r>
        <w:rPr>
          <w:color w:val="231F20"/>
          <w:spacing w:val="-10"/>
          <w:w w:val="105"/>
        </w:rPr>
        <w:t> </w:t>
      </w:r>
      <w:r>
        <w:rPr>
          <w:color w:val="231F20"/>
          <w:w w:val="105"/>
        </w:rPr>
        <w:t>investment</w:t>
      </w:r>
      <w:r>
        <w:rPr>
          <w:color w:val="231F20"/>
          <w:spacing w:val="-10"/>
          <w:w w:val="105"/>
        </w:rPr>
        <w:t> </w:t>
      </w:r>
      <w:r>
        <w:rPr>
          <w:color w:val="231F20"/>
          <w:w w:val="105"/>
        </w:rPr>
        <w:t>threshold</w:t>
      </w:r>
      <w:r>
        <w:rPr>
          <w:color w:val="231F20"/>
          <w:spacing w:val="-10"/>
          <w:w w:val="105"/>
        </w:rPr>
        <w:t> </w:t>
      </w:r>
      <w:r>
        <w:rPr>
          <w:color w:val="231F20"/>
          <w:w w:val="105"/>
        </w:rPr>
        <w:t>for</w:t>
      </w:r>
      <w:r>
        <w:rPr>
          <w:color w:val="231F20"/>
          <w:spacing w:val="-10"/>
          <w:w w:val="105"/>
        </w:rPr>
        <w:t> </w:t>
      </w:r>
      <w:r>
        <w:rPr>
          <w:color w:val="231F20"/>
          <w:w w:val="105"/>
        </w:rPr>
        <w:t>large</w:t>
      </w:r>
      <w:r>
        <w:rPr>
          <w:color w:val="231F20"/>
          <w:spacing w:val="-10"/>
          <w:w w:val="105"/>
        </w:rPr>
        <w:t> </w:t>
      </w:r>
      <w:r>
        <w:rPr>
          <w:color w:val="231F20"/>
          <w:w w:val="105"/>
        </w:rPr>
        <w:t>value funds</w:t>
      </w:r>
      <w:r>
        <w:rPr>
          <w:color w:val="231F20"/>
          <w:w w:val="105"/>
        </w:rPr>
        <w:t> was</w:t>
      </w:r>
      <w:r>
        <w:rPr>
          <w:color w:val="231F20"/>
          <w:w w:val="105"/>
        </w:rPr>
        <w:t> reduced</w:t>
      </w:r>
      <w:r>
        <w:rPr>
          <w:color w:val="231F20"/>
          <w:w w:val="105"/>
        </w:rPr>
        <w:t> from</w:t>
      </w:r>
      <w:r>
        <w:rPr>
          <w:color w:val="231F20"/>
          <w:w w:val="105"/>
        </w:rPr>
        <w:t> ₹70</w:t>
      </w:r>
      <w:r>
        <w:rPr>
          <w:color w:val="231F20"/>
          <w:w w:val="105"/>
        </w:rPr>
        <w:t> crore</w:t>
      </w:r>
      <w:r>
        <w:rPr>
          <w:color w:val="231F20"/>
          <w:w w:val="105"/>
        </w:rPr>
        <w:t> to</w:t>
      </w:r>
      <w:r>
        <w:rPr>
          <w:color w:val="231F20"/>
          <w:w w:val="105"/>
        </w:rPr>
        <w:t> ₹25</w:t>
      </w:r>
      <w:r>
        <w:rPr>
          <w:color w:val="231F20"/>
          <w:w w:val="105"/>
        </w:rPr>
        <w:t> crore. Category</w:t>
      </w:r>
      <w:r>
        <w:rPr>
          <w:color w:val="231F20"/>
          <w:spacing w:val="27"/>
          <w:w w:val="105"/>
        </w:rPr>
        <w:t> </w:t>
      </w:r>
      <w:r>
        <w:rPr>
          <w:color w:val="231F20"/>
          <w:w w:val="105"/>
        </w:rPr>
        <w:t>I</w:t>
      </w:r>
      <w:r>
        <w:rPr>
          <w:color w:val="231F20"/>
          <w:spacing w:val="28"/>
          <w:w w:val="105"/>
        </w:rPr>
        <w:t> </w:t>
      </w:r>
      <w:r>
        <w:rPr>
          <w:color w:val="231F20"/>
          <w:w w:val="105"/>
        </w:rPr>
        <w:t>&amp;</w:t>
      </w:r>
      <w:r>
        <w:rPr>
          <w:color w:val="231F20"/>
          <w:spacing w:val="28"/>
          <w:w w:val="105"/>
        </w:rPr>
        <w:t> </w:t>
      </w:r>
      <w:r>
        <w:rPr>
          <w:color w:val="231F20"/>
          <w:w w:val="105"/>
        </w:rPr>
        <w:t>II</w:t>
      </w:r>
      <w:r>
        <w:rPr>
          <w:color w:val="231F20"/>
          <w:spacing w:val="28"/>
          <w:w w:val="105"/>
        </w:rPr>
        <w:t> </w:t>
      </w:r>
      <w:r>
        <w:rPr>
          <w:color w:val="231F20"/>
          <w:w w:val="105"/>
        </w:rPr>
        <w:t>AIFs</w:t>
      </w:r>
      <w:r>
        <w:rPr>
          <w:color w:val="231F20"/>
          <w:spacing w:val="28"/>
          <w:w w:val="105"/>
        </w:rPr>
        <w:t> </w:t>
      </w:r>
      <w:r>
        <w:rPr>
          <w:color w:val="231F20"/>
          <w:w w:val="105"/>
        </w:rPr>
        <w:t>were</w:t>
      </w:r>
      <w:r>
        <w:rPr>
          <w:color w:val="231F20"/>
          <w:spacing w:val="27"/>
          <w:w w:val="105"/>
        </w:rPr>
        <w:t> </w:t>
      </w:r>
      <w:r>
        <w:rPr>
          <w:color w:val="231F20"/>
          <w:w w:val="105"/>
        </w:rPr>
        <w:t>permitted</w:t>
      </w:r>
      <w:r>
        <w:rPr>
          <w:color w:val="231F20"/>
          <w:spacing w:val="28"/>
          <w:w w:val="105"/>
        </w:rPr>
        <w:t> </w:t>
      </w:r>
      <w:r>
        <w:rPr>
          <w:color w:val="231F20"/>
          <w:w w:val="105"/>
        </w:rPr>
        <w:t>to</w:t>
      </w:r>
      <w:r>
        <w:rPr>
          <w:color w:val="231F20"/>
          <w:spacing w:val="28"/>
          <w:w w:val="105"/>
        </w:rPr>
        <w:t> </w:t>
      </w:r>
      <w:r>
        <w:rPr>
          <w:color w:val="231F20"/>
          <w:w w:val="105"/>
        </w:rPr>
        <w:t>offer</w:t>
      </w:r>
      <w:r>
        <w:rPr>
          <w:color w:val="231F20"/>
          <w:spacing w:val="28"/>
          <w:w w:val="105"/>
        </w:rPr>
        <w:t> </w:t>
      </w:r>
      <w:r>
        <w:rPr>
          <w:color w:val="231F20"/>
          <w:spacing w:val="-5"/>
          <w:w w:val="105"/>
        </w:rPr>
        <w:t>Co-</w:t>
      </w:r>
    </w:p>
    <w:p>
      <w:pPr>
        <w:pStyle w:val="BodyText"/>
        <w:spacing w:after="0" w:line="300" w:lineRule="auto"/>
        <w:sectPr>
          <w:type w:val="continuous"/>
          <w:pgSz w:w="12240" w:h="15840"/>
          <w:pgMar w:top="0" w:bottom="280" w:left="720" w:right="720"/>
          <w:cols w:num="2" w:equalWidth="0">
            <w:col w:w="5273" w:space="166"/>
            <w:col w:w="5361"/>
          </w:cols>
        </w:sectPr>
      </w:pPr>
    </w:p>
    <w:p>
      <w:pPr>
        <w:pStyle w:val="BodyText"/>
        <w:spacing w:line="295" w:lineRule="auto" w:before="58"/>
        <w:ind w:right="39"/>
      </w:pPr>
      <w:r>
        <w:rPr/>
        <mc:AlternateContent>
          <mc:Choice Requires="wps">
            <w:drawing>
              <wp:anchor distT="0" distB="0" distL="0" distR="0" allowOverlap="1" layoutInCell="1" locked="0" behindDoc="1" simplePos="0" relativeHeight="487533056">
                <wp:simplePos x="0" y="0"/>
                <wp:positionH relativeFrom="page">
                  <wp:posOffset>0</wp:posOffset>
                </wp:positionH>
                <wp:positionV relativeFrom="page">
                  <wp:posOffset>0</wp:posOffset>
                </wp:positionV>
                <wp:extent cx="7772400" cy="1005840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AF2EE"/>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5783424" id="docshape6" filled="true" fillcolor="#faf2ee" stroked="false">
                <v:fill type="solid"/>
                <w10:wrap type="none"/>
              </v:rect>
            </w:pict>
          </mc:Fallback>
        </mc:AlternateContent>
      </w:r>
      <w:r>
        <w:rPr>
          <w:color w:val="231F20"/>
        </w:rPr>
        <w:t>investment schemes to facilitate AIFs and investors to co-invest. These measures are designed to direct capital toward start-ups and strategic sectors under </w:t>
      </w:r>
      <w:r>
        <w:rPr>
          <w:color w:val="231F20"/>
          <w:w w:val="105"/>
        </w:rPr>
        <w:t>a</w:t>
      </w:r>
      <w:r>
        <w:rPr>
          <w:color w:val="231F20"/>
          <w:spacing w:val="-7"/>
          <w:w w:val="105"/>
        </w:rPr>
        <w:t> </w:t>
      </w:r>
      <w:r>
        <w:rPr>
          <w:color w:val="231F20"/>
          <w:w w:val="105"/>
        </w:rPr>
        <w:t>lighter,</w:t>
      </w:r>
      <w:r>
        <w:rPr>
          <w:color w:val="231F20"/>
          <w:spacing w:val="-7"/>
          <w:w w:val="105"/>
        </w:rPr>
        <w:t> </w:t>
      </w:r>
      <w:r>
        <w:rPr>
          <w:color w:val="231F20"/>
          <w:w w:val="105"/>
        </w:rPr>
        <w:t>yet</w:t>
      </w:r>
      <w:r>
        <w:rPr>
          <w:color w:val="231F20"/>
          <w:spacing w:val="-7"/>
          <w:w w:val="105"/>
        </w:rPr>
        <w:t> </w:t>
      </w:r>
      <w:r>
        <w:rPr>
          <w:color w:val="231F20"/>
          <w:w w:val="105"/>
        </w:rPr>
        <w:t>robust,</w:t>
      </w:r>
      <w:r>
        <w:rPr>
          <w:color w:val="231F20"/>
          <w:spacing w:val="-7"/>
          <w:w w:val="105"/>
        </w:rPr>
        <w:t> </w:t>
      </w:r>
      <w:r>
        <w:rPr>
          <w:color w:val="231F20"/>
          <w:w w:val="105"/>
        </w:rPr>
        <w:t>regulatory</w:t>
      </w:r>
      <w:r>
        <w:rPr>
          <w:color w:val="231F20"/>
          <w:spacing w:val="-7"/>
          <w:w w:val="105"/>
        </w:rPr>
        <w:t> </w:t>
      </w:r>
      <w:r>
        <w:rPr>
          <w:color w:val="231F20"/>
          <w:w w:val="105"/>
        </w:rPr>
        <w:t>regime.</w:t>
      </w:r>
      <w:r>
        <w:rPr>
          <w:color w:val="231F20"/>
          <w:spacing w:val="-7"/>
          <w:w w:val="105"/>
        </w:rPr>
        <w:t> </w:t>
      </w:r>
      <w:r>
        <w:rPr>
          <w:color w:val="231F20"/>
          <w:w w:val="105"/>
        </w:rPr>
        <w:t>REITs</w:t>
      </w:r>
      <w:r>
        <w:rPr>
          <w:color w:val="231F20"/>
          <w:spacing w:val="-7"/>
          <w:w w:val="105"/>
        </w:rPr>
        <w:t> </w:t>
      </w:r>
      <w:r>
        <w:rPr>
          <w:color w:val="231F20"/>
          <w:w w:val="105"/>
        </w:rPr>
        <w:t>and InvITs</w:t>
      </w:r>
      <w:r>
        <w:rPr>
          <w:color w:val="231F20"/>
          <w:w w:val="105"/>
        </w:rPr>
        <w:t> have</w:t>
      </w:r>
      <w:r>
        <w:rPr>
          <w:color w:val="231F20"/>
          <w:w w:val="105"/>
        </w:rPr>
        <w:t> matured</w:t>
      </w:r>
      <w:r>
        <w:rPr>
          <w:color w:val="231F20"/>
          <w:w w:val="105"/>
        </w:rPr>
        <w:t> from</w:t>
      </w:r>
      <w:r>
        <w:rPr>
          <w:color w:val="231F20"/>
          <w:w w:val="105"/>
        </w:rPr>
        <w:t> nascent</w:t>
      </w:r>
      <w:r>
        <w:rPr>
          <w:color w:val="231F20"/>
          <w:w w:val="105"/>
        </w:rPr>
        <w:t> instruments into</w:t>
      </w:r>
      <w:r>
        <w:rPr>
          <w:color w:val="231F20"/>
          <w:w w:val="105"/>
        </w:rPr>
        <w:t> significant</w:t>
      </w:r>
      <w:r>
        <w:rPr>
          <w:color w:val="231F20"/>
          <w:w w:val="105"/>
        </w:rPr>
        <w:t> infrastructure</w:t>
      </w:r>
      <w:r>
        <w:rPr>
          <w:color w:val="231F20"/>
          <w:w w:val="105"/>
        </w:rPr>
        <w:t> financing</w:t>
      </w:r>
      <w:r>
        <w:rPr>
          <w:color w:val="231F20"/>
          <w:w w:val="105"/>
        </w:rPr>
        <w:t> channels. </w:t>
      </w:r>
      <w:r>
        <w:rPr>
          <w:color w:val="231F20"/>
        </w:rPr>
        <w:t>Furthermore, the reclassification of REITs as equity </w:t>
      </w:r>
      <w:r>
        <w:rPr>
          <w:color w:val="231F20"/>
          <w:w w:val="105"/>
        </w:rPr>
        <w:t>related</w:t>
      </w:r>
      <w:r>
        <w:rPr>
          <w:color w:val="231F20"/>
          <w:w w:val="105"/>
        </w:rPr>
        <w:t> instruments</w:t>
      </w:r>
      <w:r>
        <w:rPr>
          <w:color w:val="231F20"/>
          <w:w w:val="105"/>
        </w:rPr>
        <w:t> for</w:t>
      </w:r>
      <w:r>
        <w:rPr>
          <w:color w:val="231F20"/>
          <w:w w:val="105"/>
        </w:rPr>
        <w:t> any</w:t>
      </w:r>
      <w:r>
        <w:rPr>
          <w:color w:val="231F20"/>
          <w:w w:val="105"/>
        </w:rPr>
        <w:t> investment</w:t>
      </w:r>
      <w:r>
        <w:rPr>
          <w:color w:val="231F20"/>
          <w:w w:val="105"/>
        </w:rPr>
        <w:t> made</w:t>
      </w:r>
      <w:r>
        <w:rPr>
          <w:color w:val="231F20"/>
          <w:w w:val="105"/>
        </w:rPr>
        <w:t> by Mutual</w:t>
      </w:r>
      <w:r>
        <w:rPr>
          <w:color w:val="231F20"/>
          <w:w w:val="105"/>
        </w:rPr>
        <w:t> Funds</w:t>
      </w:r>
      <w:r>
        <w:rPr>
          <w:color w:val="231F20"/>
          <w:w w:val="105"/>
        </w:rPr>
        <w:t> and</w:t>
      </w:r>
      <w:r>
        <w:rPr>
          <w:color w:val="231F20"/>
          <w:w w:val="105"/>
        </w:rPr>
        <w:t> SIFs,</w:t>
      </w:r>
      <w:r>
        <w:rPr>
          <w:color w:val="231F20"/>
          <w:w w:val="105"/>
        </w:rPr>
        <w:t> is</w:t>
      </w:r>
      <w:r>
        <w:rPr>
          <w:color w:val="231F20"/>
          <w:w w:val="105"/>
        </w:rPr>
        <w:t> a</w:t>
      </w:r>
      <w:r>
        <w:rPr>
          <w:color w:val="231F20"/>
          <w:w w:val="105"/>
        </w:rPr>
        <w:t> landmark</w:t>
      </w:r>
      <w:r>
        <w:rPr>
          <w:color w:val="231F20"/>
          <w:w w:val="105"/>
        </w:rPr>
        <w:t> shift</w:t>
      </w:r>
      <w:r>
        <w:rPr>
          <w:color w:val="231F20"/>
          <w:w w:val="105"/>
        </w:rPr>
        <w:t> that should</w:t>
      </w:r>
      <w:r>
        <w:rPr>
          <w:color w:val="231F20"/>
          <w:spacing w:val="-2"/>
          <w:w w:val="105"/>
        </w:rPr>
        <w:t> </w:t>
      </w:r>
      <w:r>
        <w:rPr>
          <w:color w:val="231F20"/>
          <w:w w:val="105"/>
        </w:rPr>
        <w:t>increase</w:t>
      </w:r>
      <w:r>
        <w:rPr>
          <w:color w:val="231F20"/>
          <w:spacing w:val="-2"/>
          <w:w w:val="105"/>
        </w:rPr>
        <w:t> </w:t>
      </w:r>
      <w:r>
        <w:rPr>
          <w:color w:val="231F20"/>
          <w:w w:val="105"/>
        </w:rPr>
        <w:t>liquidity</w:t>
      </w:r>
      <w:r>
        <w:rPr>
          <w:color w:val="231F20"/>
          <w:spacing w:val="-2"/>
          <w:w w:val="105"/>
        </w:rPr>
        <w:t> </w:t>
      </w:r>
      <w:r>
        <w:rPr>
          <w:color w:val="231F20"/>
          <w:w w:val="105"/>
        </w:rPr>
        <w:t>and</w:t>
      </w:r>
      <w:r>
        <w:rPr>
          <w:color w:val="231F20"/>
          <w:spacing w:val="-2"/>
          <w:w w:val="105"/>
        </w:rPr>
        <w:t> </w:t>
      </w:r>
      <w:r>
        <w:rPr>
          <w:color w:val="231F20"/>
          <w:w w:val="105"/>
        </w:rPr>
        <w:t>broaden</w:t>
      </w:r>
      <w:r>
        <w:rPr>
          <w:color w:val="231F20"/>
          <w:spacing w:val="-2"/>
          <w:w w:val="105"/>
        </w:rPr>
        <w:t> </w:t>
      </w:r>
      <w:r>
        <w:rPr>
          <w:color w:val="231F20"/>
          <w:w w:val="105"/>
        </w:rPr>
        <w:t>the</w:t>
      </w:r>
      <w:r>
        <w:rPr>
          <w:color w:val="231F20"/>
          <w:spacing w:val="-2"/>
          <w:w w:val="105"/>
        </w:rPr>
        <w:t> </w:t>
      </w:r>
      <w:r>
        <w:rPr>
          <w:color w:val="231F20"/>
          <w:w w:val="105"/>
        </w:rPr>
        <w:t>investor base for these instruments.</w:t>
      </w:r>
    </w:p>
    <w:p>
      <w:pPr>
        <w:pStyle w:val="BodyText"/>
        <w:spacing w:line="295" w:lineRule="auto" w:before="182"/>
      </w:pPr>
      <w:r>
        <w:rPr>
          <w:color w:val="231F20"/>
        </w:rPr>
        <w:t>India’s</w:t>
      </w:r>
      <w:r>
        <w:rPr>
          <w:color w:val="231F20"/>
          <w:spacing w:val="-14"/>
        </w:rPr>
        <w:t> </w:t>
      </w:r>
      <w:r>
        <w:rPr>
          <w:color w:val="231F20"/>
        </w:rPr>
        <w:t>corporate</w:t>
      </w:r>
      <w:r>
        <w:rPr>
          <w:color w:val="231F20"/>
          <w:spacing w:val="-14"/>
        </w:rPr>
        <w:t> </w:t>
      </w:r>
      <w:r>
        <w:rPr>
          <w:color w:val="231F20"/>
        </w:rPr>
        <w:t>bond</w:t>
      </w:r>
      <w:r>
        <w:rPr>
          <w:color w:val="231F20"/>
          <w:spacing w:val="-14"/>
        </w:rPr>
        <w:t> </w:t>
      </w:r>
      <w:r>
        <w:rPr>
          <w:color w:val="231F20"/>
        </w:rPr>
        <w:t>market</w:t>
      </w:r>
      <w:r>
        <w:rPr>
          <w:color w:val="231F20"/>
          <w:spacing w:val="-14"/>
        </w:rPr>
        <w:t> </w:t>
      </w:r>
      <w:r>
        <w:rPr>
          <w:color w:val="231F20"/>
        </w:rPr>
        <w:t>has</w:t>
      </w:r>
      <w:r>
        <w:rPr>
          <w:color w:val="231F20"/>
          <w:spacing w:val="-14"/>
        </w:rPr>
        <w:t> </w:t>
      </w:r>
      <w:r>
        <w:rPr>
          <w:color w:val="231F20"/>
        </w:rPr>
        <w:t>made</w:t>
      </w:r>
      <w:r>
        <w:rPr>
          <w:color w:val="231F20"/>
          <w:spacing w:val="-14"/>
        </w:rPr>
        <w:t> </w:t>
      </w:r>
      <w:r>
        <w:rPr>
          <w:color w:val="231F20"/>
        </w:rPr>
        <w:t>measurable progress in recent years. On the issuance side, SEBI launched the inaugural Pan-India Bond Issuer Outreach Programme, a consultative initiative designed</w:t>
      </w:r>
      <w:r>
        <w:rPr>
          <w:color w:val="231F20"/>
          <w:spacing w:val="80"/>
        </w:rPr>
        <w:t> </w:t>
      </w:r>
      <w:r>
        <w:rPr>
          <w:color w:val="231F20"/>
        </w:rPr>
        <w:t>to</w:t>
      </w:r>
      <w:r>
        <w:rPr>
          <w:color w:val="231F20"/>
          <w:spacing w:val="80"/>
        </w:rPr>
        <w:t> </w:t>
      </w:r>
      <w:r>
        <w:rPr>
          <w:color w:val="231F20"/>
        </w:rPr>
        <w:t>hear</w:t>
      </w:r>
      <w:r>
        <w:rPr>
          <w:color w:val="231F20"/>
          <w:spacing w:val="80"/>
        </w:rPr>
        <w:t> </w:t>
      </w:r>
      <w:r>
        <w:rPr>
          <w:color w:val="231F20"/>
        </w:rPr>
        <w:t>directly</w:t>
      </w:r>
      <w:r>
        <w:rPr>
          <w:color w:val="231F20"/>
          <w:spacing w:val="80"/>
        </w:rPr>
        <w:t> </w:t>
      </w:r>
      <w:r>
        <w:rPr>
          <w:color w:val="231F20"/>
        </w:rPr>
        <w:t>from</w:t>
      </w:r>
      <w:r>
        <w:rPr>
          <w:color w:val="231F20"/>
          <w:spacing w:val="80"/>
        </w:rPr>
        <w:t> </w:t>
      </w:r>
      <w:r>
        <w:rPr>
          <w:color w:val="231F20"/>
        </w:rPr>
        <w:t>issuers</w:t>
      </w:r>
      <w:r>
        <w:rPr>
          <w:color w:val="231F20"/>
          <w:spacing w:val="80"/>
        </w:rPr>
        <w:t> </w:t>
      </w:r>
      <w:r>
        <w:rPr>
          <w:color w:val="231F20"/>
        </w:rPr>
        <w:t>about</w:t>
      </w:r>
      <w:r>
        <w:rPr>
          <w:color w:val="231F20"/>
          <w:spacing w:val="40"/>
        </w:rPr>
        <w:t> </w:t>
      </w:r>
      <w:r>
        <w:rPr>
          <w:color w:val="231F20"/>
        </w:rPr>
        <w:t>the practical barriers to bond market access. To broaden the retail investor base in debt, issuers were permitted to offer incentives such as additional interest or price discounts, to retail investors and senior</w:t>
      </w:r>
      <w:r>
        <w:rPr>
          <w:color w:val="231F20"/>
          <w:spacing w:val="40"/>
        </w:rPr>
        <w:t> </w:t>
      </w:r>
      <w:r>
        <w:rPr>
          <w:color w:val="231F20"/>
        </w:rPr>
        <w:t>citizens.</w:t>
      </w:r>
      <w:r>
        <w:rPr>
          <w:color w:val="231F20"/>
          <w:spacing w:val="40"/>
        </w:rPr>
        <w:t> </w:t>
      </w:r>
      <w:r>
        <w:rPr>
          <w:color w:val="231F20"/>
        </w:rPr>
        <w:t>The</w:t>
      </w:r>
      <w:r>
        <w:rPr>
          <w:color w:val="231F20"/>
          <w:spacing w:val="40"/>
        </w:rPr>
        <w:t> </w:t>
      </w:r>
      <w:r>
        <w:rPr>
          <w:color w:val="231F20"/>
        </w:rPr>
        <w:t>Electronic</w:t>
      </w:r>
      <w:r>
        <w:rPr>
          <w:color w:val="231F20"/>
          <w:spacing w:val="40"/>
        </w:rPr>
        <w:t> </w:t>
      </w:r>
      <w:r>
        <w:rPr>
          <w:color w:val="231F20"/>
        </w:rPr>
        <w:t>Book</w:t>
      </w:r>
      <w:r>
        <w:rPr>
          <w:color w:val="231F20"/>
          <w:spacing w:val="40"/>
        </w:rPr>
        <w:t> </w:t>
      </w:r>
      <w:r>
        <w:rPr>
          <w:color w:val="231F20"/>
        </w:rPr>
        <w:t>Provider (EBP) mechanism is now mandatory for the debt issuances of Rs. 20 crore or above – bringing</w:t>
      </w:r>
      <w:r>
        <w:rPr>
          <w:color w:val="231F20"/>
          <w:spacing w:val="80"/>
        </w:rPr>
        <w:t> </w:t>
      </w:r>
      <w:r>
        <w:rPr>
          <w:color w:val="231F20"/>
        </w:rPr>
        <w:t>higher fundraising onto a common, transparent and standardized marketplace leading to fair &amp; efficient price discovery and enhanced transparency.</w:t>
      </w:r>
    </w:p>
    <w:p>
      <w:pPr>
        <w:pStyle w:val="BodyText"/>
        <w:spacing w:line="295" w:lineRule="auto" w:before="185"/>
      </w:pPr>
      <w:r>
        <w:rPr>
          <w:color w:val="231F20"/>
        </w:rPr>
        <w:t>Simultaneously, urban local bodies were encouraged to access market-based funding for civic infrastructure. The municipal bond market witnessed 14 issuances raising ₹1,756 crore, supported by targeted municipal bond outreach programmes in cities like Bhopal and Raipur. This facilitates and enables urban local bodies to access domestic</w:t>
      </w:r>
      <w:r>
        <w:rPr>
          <w:color w:val="231F20"/>
          <w:spacing w:val="18"/>
        </w:rPr>
        <w:t> </w:t>
      </w:r>
      <w:r>
        <w:rPr>
          <w:color w:val="231F20"/>
        </w:rPr>
        <w:t>private</w:t>
      </w:r>
      <w:r>
        <w:rPr>
          <w:color w:val="231F20"/>
          <w:spacing w:val="18"/>
        </w:rPr>
        <w:t> </w:t>
      </w:r>
      <w:r>
        <w:rPr>
          <w:color w:val="231F20"/>
        </w:rPr>
        <w:t>capital</w:t>
      </w:r>
      <w:r>
        <w:rPr>
          <w:color w:val="231F20"/>
          <w:spacing w:val="18"/>
        </w:rPr>
        <w:t> </w:t>
      </w:r>
      <w:r>
        <w:rPr>
          <w:color w:val="231F20"/>
        </w:rPr>
        <w:t>for</w:t>
      </w:r>
      <w:r>
        <w:rPr>
          <w:color w:val="231F20"/>
          <w:spacing w:val="18"/>
        </w:rPr>
        <w:t> </w:t>
      </w:r>
      <w:r>
        <w:rPr>
          <w:color w:val="231F20"/>
        </w:rPr>
        <w:t>infrastructure</w:t>
      </w:r>
      <w:r>
        <w:rPr>
          <w:color w:val="231F20"/>
          <w:spacing w:val="18"/>
        </w:rPr>
        <w:t> </w:t>
      </w:r>
      <w:r>
        <w:rPr>
          <w:color w:val="231F20"/>
          <w:spacing w:val="-2"/>
        </w:rPr>
        <w:t>financing.</w:t>
      </w:r>
    </w:p>
    <w:p>
      <w:pPr>
        <w:pStyle w:val="BodyText"/>
        <w:spacing w:line="295" w:lineRule="auto" w:before="178"/>
      </w:pPr>
      <w:r>
        <w:rPr>
          <w:color w:val="231F20"/>
          <w:w w:val="105"/>
        </w:rPr>
        <w:t>The</w:t>
      </w:r>
      <w:r>
        <w:rPr>
          <w:color w:val="231F20"/>
          <w:w w:val="105"/>
        </w:rPr>
        <w:t> launch</w:t>
      </w:r>
      <w:r>
        <w:rPr>
          <w:color w:val="231F20"/>
          <w:w w:val="105"/>
        </w:rPr>
        <w:t> of</w:t>
      </w:r>
      <w:r>
        <w:rPr>
          <w:color w:val="231F20"/>
          <w:w w:val="105"/>
        </w:rPr>
        <w:t> electricity</w:t>
      </w:r>
      <w:r>
        <w:rPr>
          <w:color w:val="231F20"/>
          <w:w w:val="105"/>
        </w:rPr>
        <w:t> derivatives</w:t>
      </w:r>
      <w:r>
        <w:rPr>
          <w:color w:val="231F20"/>
          <w:w w:val="105"/>
        </w:rPr>
        <w:t> marks</w:t>
      </w:r>
      <w:r>
        <w:rPr>
          <w:color w:val="231F20"/>
          <w:w w:val="105"/>
        </w:rPr>
        <w:t> a</w:t>
      </w:r>
      <w:r>
        <w:rPr>
          <w:color w:val="231F20"/>
          <w:w w:val="105"/>
        </w:rPr>
        <w:t> key milestone</w:t>
      </w:r>
      <w:r>
        <w:rPr>
          <w:color w:val="231F20"/>
          <w:w w:val="105"/>
        </w:rPr>
        <w:t> in</w:t>
      </w:r>
      <w:r>
        <w:rPr>
          <w:color w:val="231F20"/>
          <w:w w:val="105"/>
        </w:rPr>
        <w:t> energy</w:t>
      </w:r>
      <w:r>
        <w:rPr>
          <w:color w:val="231F20"/>
          <w:w w:val="105"/>
        </w:rPr>
        <w:t> risk</w:t>
      </w:r>
      <w:r>
        <w:rPr>
          <w:color w:val="231F20"/>
          <w:w w:val="105"/>
        </w:rPr>
        <w:t> management.</w:t>
      </w:r>
      <w:r>
        <w:rPr>
          <w:color w:val="231F20"/>
          <w:w w:val="105"/>
        </w:rPr>
        <w:t> These contracts</w:t>
      </w:r>
      <w:r>
        <w:rPr>
          <w:color w:val="231F20"/>
          <w:spacing w:val="-12"/>
          <w:w w:val="105"/>
        </w:rPr>
        <w:t> </w:t>
      </w:r>
      <w:r>
        <w:rPr>
          <w:color w:val="231F20"/>
          <w:w w:val="105"/>
        </w:rPr>
        <w:t>act</w:t>
      </w:r>
      <w:r>
        <w:rPr>
          <w:color w:val="231F20"/>
          <w:spacing w:val="-13"/>
          <w:w w:val="105"/>
        </w:rPr>
        <w:t> </w:t>
      </w:r>
      <w:r>
        <w:rPr>
          <w:color w:val="231F20"/>
          <w:w w:val="105"/>
        </w:rPr>
        <w:t>as</w:t>
      </w:r>
      <w:r>
        <w:rPr>
          <w:color w:val="231F20"/>
          <w:spacing w:val="-12"/>
          <w:w w:val="105"/>
        </w:rPr>
        <w:t> </w:t>
      </w:r>
      <w:r>
        <w:rPr>
          <w:color w:val="231F20"/>
          <w:w w:val="105"/>
        </w:rPr>
        <w:t>hedging</w:t>
      </w:r>
      <w:r>
        <w:rPr>
          <w:color w:val="231F20"/>
          <w:spacing w:val="-13"/>
          <w:w w:val="105"/>
        </w:rPr>
        <w:t> </w:t>
      </w:r>
      <w:r>
        <w:rPr>
          <w:color w:val="231F20"/>
          <w:w w:val="105"/>
        </w:rPr>
        <w:t>instruments</w:t>
      </w:r>
      <w:r>
        <w:rPr>
          <w:color w:val="231F20"/>
          <w:spacing w:val="-12"/>
          <w:w w:val="105"/>
        </w:rPr>
        <w:t> </w:t>
      </w:r>
      <w:r>
        <w:rPr>
          <w:color w:val="231F20"/>
          <w:w w:val="105"/>
        </w:rPr>
        <w:t>against</w:t>
      </w:r>
      <w:r>
        <w:rPr>
          <w:color w:val="231F20"/>
          <w:spacing w:val="-13"/>
          <w:w w:val="105"/>
        </w:rPr>
        <w:t> </w:t>
      </w:r>
      <w:r>
        <w:rPr>
          <w:color w:val="231F20"/>
          <w:w w:val="105"/>
        </w:rPr>
        <w:t>price volatility</w:t>
      </w:r>
      <w:r>
        <w:rPr>
          <w:color w:val="231F20"/>
          <w:w w:val="105"/>
        </w:rPr>
        <w:t> and</w:t>
      </w:r>
      <w:r>
        <w:rPr>
          <w:color w:val="231F20"/>
          <w:w w:val="105"/>
        </w:rPr>
        <w:t> provide</w:t>
      </w:r>
      <w:r>
        <w:rPr>
          <w:color w:val="231F20"/>
          <w:w w:val="105"/>
        </w:rPr>
        <w:t> transparent</w:t>
      </w:r>
      <w:r>
        <w:rPr>
          <w:color w:val="231F20"/>
          <w:w w:val="105"/>
        </w:rPr>
        <w:t> forward</w:t>
      </w:r>
      <w:r>
        <w:rPr>
          <w:color w:val="231F20"/>
          <w:w w:val="105"/>
        </w:rPr>
        <w:t> price discovery</w:t>
      </w:r>
      <w:r>
        <w:rPr>
          <w:color w:val="231F20"/>
          <w:w w:val="105"/>
        </w:rPr>
        <w:t> for</w:t>
      </w:r>
      <w:r>
        <w:rPr>
          <w:color w:val="231F20"/>
          <w:w w:val="105"/>
        </w:rPr>
        <w:t> power</w:t>
      </w:r>
      <w:r>
        <w:rPr>
          <w:color w:val="231F20"/>
          <w:w w:val="105"/>
        </w:rPr>
        <w:t> generators</w:t>
      </w:r>
      <w:r>
        <w:rPr>
          <w:color w:val="231F20"/>
          <w:w w:val="105"/>
        </w:rPr>
        <w:t> and</w:t>
      </w:r>
      <w:r>
        <w:rPr>
          <w:color w:val="231F20"/>
          <w:w w:val="105"/>
        </w:rPr>
        <w:t> distribution </w:t>
      </w:r>
      <w:r>
        <w:rPr>
          <w:color w:val="231F20"/>
          <w:spacing w:val="-2"/>
          <w:w w:val="105"/>
        </w:rPr>
        <w:t>companies.</w:t>
      </w:r>
    </w:p>
    <w:p>
      <w:pPr>
        <w:pStyle w:val="BodyText"/>
        <w:spacing w:before="176"/>
        <w:ind w:right="0"/>
      </w:pPr>
      <w:r>
        <w:rPr>
          <w:color w:val="231F20"/>
        </w:rPr>
        <w:t>Safeguarding</w:t>
      </w:r>
      <w:r>
        <w:rPr>
          <w:color w:val="231F20"/>
          <w:spacing w:val="-4"/>
        </w:rPr>
        <w:t> </w:t>
      </w:r>
      <w:r>
        <w:rPr>
          <w:color w:val="231F20"/>
        </w:rPr>
        <w:t>Trust</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Digital</w:t>
      </w:r>
      <w:r>
        <w:rPr>
          <w:color w:val="231F20"/>
          <w:spacing w:val="-2"/>
        </w:rPr>
        <w:t> </w:t>
      </w:r>
      <w:r>
        <w:rPr>
          <w:color w:val="231F20"/>
          <w:spacing w:val="-5"/>
        </w:rPr>
        <w:t>Era</w:t>
      </w:r>
    </w:p>
    <w:p>
      <w:pPr>
        <w:pStyle w:val="BodyText"/>
        <w:spacing w:line="295" w:lineRule="auto" w:before="230"/>
      </w:pPr>
      <w:r>
        <w:rPr>
          <w:color w:val="231F20"/>
        </w:rPr>
        <w:t>Historically,</w:t>
      </w:r>
      <w:r>
        <w:rPr>
          <w:color w:val="231F20"/>
          <w:spacing w:val="40"/>
        </w:rPr>
        <w:t> </w:t>
      </w:r>
      <w:r>
        <w:rPr>
          <w:color w:val="231F20"/>
        </w:rPr>
        <w:t>market</w:t>
      </w:r>
      <w:r>
        <w:rPr>
          <w:color w:val="231F20"/>
          <w:spacing w:val="40"/>
        </w:rPr>
        <w:t> </w:t>
      </w:r>
      <w:r>
        <w:rPr>
          <w:color w:val="231F20"/>
        </w:rPr>
        <w:t>infrastructure</w:t>
      </w:r>
      <w:r>
        <w:rPr>
          <w:color w:val="231F20"/>
          <w:spacing w:val="40"/>
        </w:rPr>
        <w:t> </w:t>
      </w:r>
      <w:r>
        <w:rPr>
          <w:color w:val="231F20"/>
        </w:rPr>
        <w:t>was</w:t>
      </w:r>
      <w:r>
        <w:rPr>
          <w:color w:val="231F20"/>
          <w:spacing w:val="40"/>
        </w:rPr>
        <w:t> </w:t>
      </w:r>
      <w:r>
        <w:rPr>
          <w:color w:val="231F20"/>
        </w:rPr>
        <w:t>understood in</w:t>
      </w:r>
      <w:r>
        <w:rPr>
          <w:color w:val="231F20"/>
          <w:spacing w:val="43"/>
        </w:rPr>
        <w:t> </w:t>
      </w:r>
      <w:r>
        <w:rPr>
          <w:color w:val="231F20"/>
        </w:rPr>
        <w:t>terms</w:t>
      </w:r>
      <w:r>
        <w:rPr>
          <w:color w:val="231F20"/>
          <w:spacing w:val="44"/>
        </w:rPr>
        <w:t> </w:t>
      </w:r>
      <w:r>
        <w:rPr>
          <w:color w:val="231F20"/>
        </w:rPr>
        <w:t>of</w:t>
      </w:r>
      <w:r>
        <w:rPr>
          <w:color w:val="231F20"/>
          <w:spacing w:val="44"/>
        </w:rPr>
        <w:t> </w:t>
      </w:r>
      <w:r>
        <w:rPr>
          <w:color w:val="231F20"/>
        </w:rPr>
        <w:t>exchanges,</w:t>
      </w:r>
      <w:r>
        <w:rPr>
          <w:color w:val="231F20"/>
          <w:spacing w:val="43"/>
        </w:rPr>
        <w:t> </w:t>
      </w:r>
      <w:r>
        <w:rPr>
          <w:color w:val="231F20"/>
        </w:rPr>
        <w:t>clearing</w:t>
      </w:r>
      <w:r>
        <w:rPr>
          <w:color w:val="231F20"/>
          <w:spacing w:val="44"/>
        </w:rPr>
        <w:t> </w:t>
      </w:r>
      <w:r>
        <w:rPr>
          <w:color w:val="231F20"/>
        </w:rPr>
        <w:t>corporations,</w:t>
      </w:r>
      <w:r>
        <w:rPr>
          <w:color w:val="231F20"/>
          <w:spacing w:val="44"/>
        </w:rPr>
        <w:t> </w:t>
      </w:r>
      <w:r>
        <w:rPr>
          <w:color w:val="231F20"/>
          <w:spacing w:val="-5"/>
        </w:rPr>
        <w:t>and</w:t>
      </w:r>
    </w:p>
    <w:p>
      <w:pPr>
        <w:pStyle w:val="BodyText"/>
        <w:spacing w:line="297" w:lineRule="auto" w:before="56"/>
        <w:ind w:right="125"/>
      </w:pPr>
      <w:r>
        <w:rPr/>
        <w:br w:type="column"/>
      </w:r>
      <w:r>
        <w:rPr>
          <w:color w:val="231F20"/>
        </w:rPr>
        <w:t>depositories. These remain essential; however, alongside</w:t>
      </w:r>
      <w:r>
        <w:rPr>
          <w:color w:val="231F20"/>
          <w:spacing w:val="40"/>
        </w:rPr>
        <w:t> </w:t>
      </w:r>
      <w:r>
        <w:rPr>
          <w:color w:val="231F20"/>
        </w:rPr>
        <w:t>them,</w:t>
      </w:r>
      <w:r>
        <w:rPr>
          <w:color w:val="231F20"/>
          <w:spacing w:val="40"/>
        </w:rPr>
        <w:t> </w:t>
      </w:r>
      <w:r>
        <w:rPr>
          <w:color w:val="231F20"/>
        </w:rPr>
        <w:t>a</w:t>
      </w:r>
      <w:r>
        <w:rPr>
          <w:color w:val="231F20"/>
          <w:spacing w:val="40"/>
        </w:rPr>
        <w:t> </w:t>
      </w:r>
      <w:r>
        <w:rPr>
          <w:color w:val="231F20"/>
        </w:rPr>
        <w:t>second</w:t>
      </w:r>
      <w:r>
        <w:rPr>
          <w:color w:val="231F20"/>
          <w:spacing w:val="40"/>
        </w:rPr>
        <w:t> </w:t>
      </w:r>
      <w:r>
        <w:rPr>
          <w:color w:val="231F20"/>
        </w:rPr>
        <w:t>layer</w:t>
      </w:r>
      <w:r>
        <w:rPr>
          <w:color w:val="231F20"/>
          <w:spacing w:val="40"/>
        </w:rPr>
        <w:t> </w:t>
      </w:r>
      <w:r>
        <w:rPr>
          <w:color w:val="231F20"/>
        </w:rPr>
        <w:t>of</w:t>
      </w:r>
      <w:r>
        <w:rPr>
          <w:color w:val="231F20"/>
          <w:spacing w:val="40"/>
        </w:rPr>
        <w:t> </w:t>
      </w:r>
      <w:r>
        <w:rPr>
          <w:color w:val="231F20"/>
        </w:rPr>
        <w:t>infrastructure has become equally critical: data. The quality of market data, the integrity of data systems, and the governance frameworks that regulate data use now matter as much to market functioning and investor protection as physical infrastructure. SEBI has responded</w:t>
      </w:r>
      <w:r>
        <w:rPr>
          <w:color w:val="231F20"/>
          <w:spacing w:val="-13"/>
        </w:rPr>
        <w:t> </w:t>
      </w:r>
      <w:r>
        <w:rPr>
          <w:color w:val="231F20"/>
        </w:rPr>
        <w:t>to</w:t>
      </w:r>
      <w:r>
        <w:rPr>
          <w:color w:val="231F20"/>
          <w:spacing w:val="-13"/>
        </w:rPr>
        <w:t> </w:t>
      </w:r>
      <w:r>
        <w:rPr>
          <w:color w:val="231F20"/>
        </w:rPr>
        <w:t>this</w:t>
      </w:r>
      <w:r>
        <w:rPr>
          <w:color w:val="231F20"/>
          <w:spacing w:val="-13"/>
        </w:rPr>
        <w:t> </w:t>
      </w:r>
      <w:r>
        <w:rPr>
          <w:color w:val="231F20"/>
        </w:rPr>
        <w:t>shift</w:t>
      </w:r>
      <w:r>
        <w:rPr>
          <w:color w:val="231F20"/>
          <w:spacing w:val="-13"/>
        </w:rPr>
        <w:t> </w:t>
      </w:r>
      <w:r>
        <w:rPr>
          <w:color w:val="231F20"/>
        </w:rPr>
        <w:t>by</w:t>
      </w:r>
      <w:r>
        <w:rPr>
          <w:color w:val="231F20"/>
          <w:spacing w:val="-13"/>
        </w:rPr>
        <w:t> </w:t>
      </w:r>
      <w:r>
        <w:rPr>
          <w:color w:val="231F20"/>
        </w:rPr>
        <w:t>investing</w:t>
      </w:r>
      <w:r>
        <w:rPr>
          <w:color w:val="231F20"/>
          <w:spacing w:val="-13"/>
        </w:rPr>
        <w:t> </w:t>
      </w:r>
      <w:r>
        <w:rPr>
          <w:color w:val="231F20"/>
        </w:rPr>
        <w:t>in</w:t>
      </w:r>
      <w:r>
        <w:rPr>
          <w:color w:val="231F20"/>
          <w:spacing w:val="-13"/>
        </w:rPr>
        <w:t> </w:t>
      </w:r>
      <w:r>
        <w:rPr>
          <w:color w:val="231F20"/>
        </w:rPr>
        <w:t>technology</w:t>
      </w:r>
      <w:r>
        <w:rPr>
          <w:color w:val="231F20"/>
          <w:spacing w:val="-13"/>
        </w:rPr>
        <w:t> </w:t>
      </w:r>
      <w:r>
        <w:rPr>
          <w:color w:val="231F20"/>
        </w:rPr>
        <w:t>and data analytics as core supervisory tools, ensuring that while the market scales, the safety net for the investor scales even faster.</w:t>
      </w:r>
    </w:p>
    <w:p>
      <w:pPr>
        <w:pStyle w:val="BodyText"/>
        <w:spacing w:line="297" w:lineRule="auto" w:before="160"/>
        <w:ind w:right="125"/>
      </w:pPr>
      <w:r>
        <w:rPr>
          <w:color w:val="231F20"/>
        </w:rPr>
        <w:t>The foundation of this protective architecture begins </w:t>
      </w:r>
      <w:r>
        <w:rPr>
          <w:color w:val="231F20"/>
          <w:w w:val="105"/>
        </w:rPr>
        <w:t>with</w:t>
      </w:r>
      <w:r>
        <w:rPr>
          <w:color w:val="231F20"/>
          <w:spacing w:val="40"/>
          <w:w w:val="105"/>
        </w:rPr>
        <w:t> </w:t>
      </w:r>
      <w:r>
        <w:rPr>
          <w:color w:val="231F20"/>
          <w:w w:val="105"/>
        </w:rPr>
        <w:t>the</w:t>
      </w:r>
      <w:r>
        <w:rPr>
          <w:color w:val="231F20"/>
          <w:spacing w:val="40"/>
          <w:w w:val="105"/>
        </w:rPr>
        <w:t> </w:t>
      </w:r>
      <w:r>
        <w:rPr>
          <w:color w:val="231F20"/>
          <w:w w:val="105"/>
        </w:rPr>
        <w:t>immediate</w:t>
      </w:r>
      <w:r>
        <w:rPr>
          <w:color w:val="231F20"/>
          <w:spacing w:val="40"/>
          <w:w w:val="105"/>
        </w:rPr>
        <w:t> </w:t>
      </w:r>
      <w:r>
        <w:rPr>
          <w:color w:val="231F20"/>
          <w:w w:val="105"/>
        </w:rPr>
        <w:t>and</w:t>
      </w:r>
      <w:r>
        <w:rPr>
          <w:color w:val="231F20"/>
          <w:spacing w:val="40"/>
          <w:w w:val="105"/>
        </w:rPr>
        <w:t> </w:t>
      </w:r>
      <w:r>
        <w:rPr>
          <w:color w:val="231F20"/>
          <w:w w:val="105"/>
        </w:rPr>
        <w:t>actionable</w:t>
      </w:r>
      <w:r>
        <w:rPr>
          <w:color w:val="231F20"/>
          <w:spacing w:val="40"/>
          <w:w w:val="105"/>
        </w:rPr>
        <w:t> </w:t>
      </w:r>
      <w:r>
        <w:rPr>
          <w:color w:val="231F20"/>
          <w:w w:val="105"/>
        </w:rPr>
        <w:t>verification</w:t>
      </w:r>
      <w:r>
        <w:rPr>
          <w:color w:val="231F20"/>
          <w:spacing w:val="40"/>
          <w:w w:val="105"/>
        </w:rPr>
        <w:t> </w:t>
      </w:r>
      <w:r>
        <w:rPr>
          <w:color w:val="231F20"/>
          <w:w w:val="105"/>
        </w:rPr>
        <w:t>of</w:t>
      </w:r>
      <w:r>
        <w:rPr>
          <w:color w:val="231F20"/>
          <w:w w:val="105"/>
        </w:rPr>
        <w:t> financial</w:t>
      </w:r>
      <w:r>
        <w:rPr>
          <w:color w:val="231F20"/>
          <w:w w:val="105"/>
        </w:rPr>
        <w:t> counterparties</w:t>
      </w:r>
      <w:r>
        <w:rPr>
          <w:color w:val="231F20"/>
          <w:w w:val="105"/>
        </w:rPr>
        <w:t> through</w:t>
      </w:r>
      <w:r>
        <w:rPr>
          <w:color w:val="231F20"/>
          <w:w w:val="105"/>
        </w:rPr>
        <w:t> Validated</w:t>
      </w:r>
      <w:r>
        <w:rPr>
          <w:color w:val="231F20"/>
          <w:w w:val="105"/>
        </w:rPr>
        <w:t> UPI </w:t>
      </w:r>
      <w:r>
        <w:rPr>
          <w:color w:val="231F20"/>
        </w:rPr>
        <w:t>handles</w:t>
      </w:r>
      <w:r>
        <w:rPr>
          <w:color w:val="231F20"/>
          <w:spacing w:val="-11"/>
        </w:rPr>
        <w:t> </w:t>
      </w:r>
      <w:r>
        <w:rPr>
          <w:color w:val="231F20"/>
        </w:rPr>
        <w:t>and</w:t>
      </w:r>
      <w:r>
        <w:rPr>
          <w:color w:val="231F20"/>
          <w:spacing w:val="-11"/>
        </w:rPr>
        <w:t> </w:t>
      </w:r>
      <w:r>
        <w:rPr>
          <w:color w:val="231F20"/>
        </w:rPr>
        <w:t>the</w:t>
      </w:r>
      <w:r>
        <w:rPr>
          <w:color w:val="231F20"/>
          <w:spacing w:val="-11"/>
        </w:rPr>
        <w:t> </w:t>
      </w:r>
      <w:r>
        <w:rPr>
          <w:color w:val="231F20"/>
        </w:rPr>
        <w:t>SEBI</w:t>
      </w:r>
      <w:r>
        <w:rPr>
          <w:color w:val="231F20"/>
          <w:spacing w:val="-11"/>
        </w:rPr>
        <w:t> </w:t>
      </w:r>
      <w:r>
        <w:rPr>
          <w:color w:val="231F20"/>
        </w:rPr>
        <w:t>Check</w:t>
      </w:r>
      <w:r>
        <w:rPr>
          <w:color w:val="231F20"/>
          <w:spacing w:val="-11"/>
        </w:rPr>
        <w:t> </w:t>
      </w:r>
      <w:r>
        <w:rPr>
          <w:color w:val="231F20"/>
        </w:rPr>
        <w:t>facility,</w:t>
      </w:r>
      <w:r>
        <w:rPr>
          <w:color w:val="231F20"/>
          <w:spacing w:val="-11"/>
        </w:rPr>
        <w:t> </w:t>
      </w:r>
      <w:r>
        <w:rPr>
          <w:color w:val="231F20"/>
        </w:rPr>
        <w:t>which</w:t>
      </w:r>
      <w:r>
        <w:rPr>
          <w:color w:val="231F20"/>
          <w:spacing w:val="-11"/>
        </w:rPr>
        <w:t> </w:t>
      </w:r>
      <w:r>
        <w:rPr>
          <w:color w:val="231F20"/>
        </w:rPr>
        <w:t>empower </w:t>
      </w:r>
      <w:r>
        <w:rPr>
          <w:color w:val="231F20"/>
          <w:spacing w:val="-2"/>
          <w:w w:val="105"/>
        </w:rPr>
        <w:t>investors</w:t>
      </w:r>
      <w:r>
        <w:rPr>
          <w:color w:val="231F20"/>
          <w:spacing w:val="-13"/>
          <w:w w:val="105"/>
        </w:rPr>
        <w:t> </w:t>
      </w:r>
      <w:r>
        <w:rPr>
          <w:color w:val="231F20"/>
          <w:spacing w:val="-2"/>
          <w:w w:val="105"/>
        </w:rPr>
        <w:t>to</w:t>
      </w:r>
      <w:r>
        <w:rPr>
          <w:color w:val="231F20"/>
          <w:spacing w:val="-13"/>
          <w:w w:val="105"/>
        </w:rPr>
        <w:t> </w:t>
      </w:r>
      <w:r>
        <w:rPr>
          <w:color w:val="231F20"/>
          <w:spacing w:val="-2"/>
          <w:w w:val="105"/>
        </w:rPr>
        <w:t>confirm</w:t>
      </w:r>
      <w:r>
        <w:rPr>
          <w:color w:val="231F20"/>
          <w:spacing w:val="-13"/>
          <w:w w:val="105"/>
        </w:rPr>
        <w:t> </w:t>
      </w:r>
      <w:r>
        <w:rPr>
          <w:color w:val="231F20"/>
          <w:spacing w:val="-2"/>
          <w:w w:val="105"/>
        </w:rPr>
        <w:t>in</w:t>
      </w:r>
      <w:r>
        <w:rPr>
          <w:color w:val="231F20"/>
          <w:spacing w:val="-13"/>
          <w:w w:val="105"/>
        </w:rPr>
        <w:t> </w:t>
      </w:r>
      <w:r>
        <w:rPr>
          <w:color w:val="231F20"/>
          <w:spacing w:val="-2"/>
          <w:w w:val="105"/>
        </w:rPr>
        <w:t>real-time</w:t>
      </w:r>
      <w:r>
        <w:rPr>
          <w:color w:val="231F20"/>
          <w:spacing w:val="-13"/>
          <w:w w:val="105"/>
        </w:rPr>
        <w:t> </w:t>
      </w:r>
      <w:r>
        <w:rPr>
          <w:color w:val="231F20"/>
          <w:spacing w:val="-2"/>
          <w:w w:val="105"/>
        </w:rPr>
        <w:t>whether</w:t>
      </w:r>
      <w:r>
        <w:rPr>
          <w:color w:val="231F20"/>
          <w:spacing w:val="-13"/>
          <w:w w:val="105"/>
        </w:rPr>
        <w:t> </w:t>
      </w:r>
      <w:r>
        <w:rPr>
          <w:color w:val="231F20"/>
          <w:spacing w:val="-2"/>
          <w:w w:val="105"/>
        </w:rPr>
        <w:t>a</w:t>
      </w:r>
      <w:r>
        <w:rPr>
          <w:color w:val="231F20"/>
          <w:spacing w:val="-13"/>
          <w:w w:val="105"/>
        </w:rPr>
        <w:t> </w:t>
      </w:r>
      <w:r>
        <w:rPr>
          <w:color w:val="231F20"/>
          <w:spacing w:val="-2"/>
          <w:w w:val="105"/>
        </w:rPr>
        <w:t>payment </w:t>
      </w:r>
      <w:r>
        <w:rPr>
          <w:color w:val="231F20"/>
          <w:w w:val="105"/>
        </w:rPr>
        <w:t>is</w:t>
      </w:r>
      <w:r>
        <w:rPr>
          <w:color w:val="231F20"/>
          <w:w w:val="105"/>
        </w:rPr>
        <w:t> being</w:t>
      </w:r>
      <w:r>
        <w:rPr>
          <w:color w:val="231F20"/>
          <w:w w:val="105"/>
        </w:rPr>
        <w:t> directed</w:t>
      </w:r>
      <w:r>
        <w:rPr>
          <w:color w:val="231F20"/>
          <w:w w:val="105"/>
        </w:rPr>
        <w:t> to</w:t>
      </w:r>
      <w:r>
        <w:rPr>
          <w:color w:val="231F20"/>
          <w:w w:val="105"/>
        </w:rPr>
        <w:t> a</w:t>
      </w:r>
      <w:r>
        <w:rPr>
          <w:color w:val="231F20"/>
          <w:w w:val="105"/>
        </w:rPr>
        <w:t> genuine</w:t>
      </w:r>
      <w:r>
        <w:rPr>
          <w:color w:val="231F20"/>
          <w:w w:val="105"/>
        </w:rPr>
        <w:t> SEBI-registered intermediary.</w:t>
      </w:r>
      <w:r>
        <w:rPr>
          <w:color w:val="231F20"/>
          <w:w w:val="105"/>
        </w:rPr>
        <w:t> To</w:t>
      </w:r>
      <w:r>
        <w:rPr>
          <w:color w:val="231F20"/>
          <w:w w:val="105"/>
        </w:rPr>
        <w:t> further</w:t>
      </w:r>
      <w:r>
        <w:rPr>
          <w:color w:val="231F20"/>
          <w:w w:val="105"/>
        </w:rPr>
        <w:t> secure</w:t>
      </w:r>
      <w:r>
        <w:rPr>
          <w:color w:val="231F20"/>
          <w:w w:val="105"/>
        </w:rPr>
        <w:t> the</w:t>
      </w:r>
      <w:r>
        <w:rPr>
          <w:color w:val="231F20"/>
          <w:w w:val="105"/>
        </w:rPr>
        <w:t> last</w:t>
      </w:r>
      <w:r>
        <w:rPr>
          <w:color w:val="231F20"/>
          <w:w w:val="105"/>
        </w:rPr>
        <w:t> mile</w:t>
      </w:r>
      <w:r>
        <w:rPr>
          <w:color w:val="231F20"/>
          <w:w w:val="105"/>
        </w:rPr>
        <w:t> of investor</w:t>
      </w:r>
      <w:r>
        <w:rPr>
          <w:color w:val="231F20"/>
          <w:w w:val="105"/>
        </w:rPr>
        <w:t> interaction,</w:t>
      </w:r>
      <w:r>
        <w:rPr>
          <w:color w:val="231F20"/>
          <w:w w:val="105"/>
        </w:rPr>
        <w:t> we</w:t>
      </w:r>
      <w:r>
        <w:rPr>
          <w:color w:val="231F20"/>
          <w:w w:val="105"/>
        </w:rPr>
        <w:t> have</w:t>
      </w:r>
      <w:r>
        <w:rPr>
          <w:color w:val="231F20"/>
          <w:w w:val="105"/>
        </w:rPr>
        <w:t> entered</w:t>
      </w:r>
      <w:r>
        <w:rPr>
          <w:color w:val="231F20"/>
          <w:w w:val="105"/>
        </w:rPr>
        <w:t> into</w:t>
      </w:r>
      <w:r>
        <w:rPr>
          <w:color w:val="231F20"/>
          <w:w w:val="105"/>
        </w:rPr>
        <w:t> a</w:t>
      </w:r>
      <w:r>
        <w:rPr>
          <w:color w:val="231F20"/>
          <w:w w:val="105"/>
        </w:rPr>
        <w:t> first-of-its-kind</w:t>
      </w:r>
      <w:r>
        <w:rPr>
          <w:color w:val="231F20"/>
          <w:w w:val="105"/>
        </w:rPr>
        <w:t> partnership</w:t>
      </w:r>
      <w:r>
        <w:rPr>
          <w:color w:val="231F20"/>
          <w:w w:val="105"/>
        </w:rPr>
        <w:t> with</w:t>
      </w:r>
      <w:r>
        <w:rPr>
          <w:color w:val="231F20"/>
          <w:w w:val="105"/>
        </w:rPr>
        <w:t> Google</w:t>
      </w:r>
      <w:r>
        <w:rPr>
          <w:color w:val="231F20"/>
          <w:w w:val="105"/>
        </w:rPr>
        <w:t> Play</w:t>
      </w:r>
      <w:r>
        <w:rPr>
          <w:color w:val="231F20"/>
          <w:w w:val="105"/>
        </w:rPr>
        <w:t> for</w:t>
      </w:r>
      <w:r>
        <w:rPr>
          <w:color w:val="231F20"/>
          <w:w w:val="105"/>
        </w:rPr>
        <w:t> the </w:t>
      </w:r>
      <w:r>
        <w:rPr>
          <w:color w:val="231F20"/>
        </w:rPr>
        <w:t>verified app label initiative, providing a visible signal </w:t>
      </w:r>
      <w:r>
        <w:rPr>
          <w:color w:val="231F20"/>
          <w:w w:val="105"/>
        </w:rPr>
        <w:t>of</w:t>
      </w:r>
      <w:r>
        <w:rPr>
          <w:color w:val="231F20"/>
          <w:w w:val="105"/>
        </w:rPr>
        <w:t> regulatory</w:t>
      </w:r>
      <w:r>
        <w:rPr>
          <w:color w:val="231F20"/>
          <w:w w:val="105"/>
        </w:rPr>
        <w:t> legitimacy</w:t>
      </w:r>
      <w:r>
        <w:rPr>
          <w:color w:val="231F20"/>
          <w:w w:val="105"/>
        </w:rPr>
        <w:t> directly</w:t>
      </w:r>
      <w:r>
        <w:rPr>
          <w:color w:val="231F20"/>
          <w:w w:val="105"/>
        </w:rPr>
        <w:t> on</w:t>
      </w:r>
      <w:r>
        <w:rPr>
          <w:color w:val="231F20"/>
          <w:w w:val="105"/>
        </w:rPr>
        <w:t> the</w:t>
      </w:r>
      <w:r>
        <w:rPr>
          <w:color w:val="231F20"/>
          <w:w w:val="105"/>
        </w:rPr>
        <w:t> platforms where</w:t>
      </w:r>
      <w:r>
        <w:rPr>
          <w:color w:val="231F20"/>
          <w:w w:val="105"/>
        </w:rPr>
        <w:t> investors</w:t>
      </w:r>
      <w:r>
        <w:rPr>
          <w:color w:val="231F20"/>
          <w:w w:val="105"/>
        </w:rPr>
        <w:t> discover</w:t>
      </w:r>
      <w:r>
        <w:rPr>
          <w:color w:val="231F20"/>
          <w:w w:val="105"/>
        </w:rPr>
        <w:t> stock</w:t>
      </w:r>
      <w:r>
        <w:rPr>
          <w:color w:val="231F20"/>
          <w:w w:val="105"/>
        </w:rPr>
        <w:t> trading</w:t>
      </w:r>
      <w:r>
        <w:rPr>
          <w:color w:val="231F20"/>
          <w:w w:val="105"/>
        </w:rPr>
        <w:t> apps.</w:t>
      </w:r>
      <w:r>
        <w:rPr>
          <w:color w:val="231F20"/>
          <w:w w:val="105"/>
        </w:rPr>
        <w:t> This </w:t>
      </w:r>
      <w:r>
        <w:rPr>
          <w:color w:val="231F20"/>
          <w:spacing w:val="-2"/>
          <w:w w:val="105"/>
        </w:rPr>
        <w:t>digital</w:t>
      </w:r>
      <w:r>
        <w:rPr>
          <w:color w:val="231F20"/>
          <w:spacing w:val="-8"/>
          <w:w w:val="105"/>
        </w:rPr>
        <w:t> </w:t>
      </w:r>
      <w:r>
        <w:rPr>
          <w:color w:val="231F20"/>
          <w:spacing w:val="-2"/>
          <w:w w:val="105"/>
        </w:rPr>
        <w:t>vigilance</w:t>
      </w:r>
      <w:r>
        <w:rPr>
          <w:color w:val="231F20"/>
          <w:spacing w:val="-9"/>
          <w:w w:val="105"/>
        </w:rPr>
        <w:t> </w:t>
      </w:r>
      <w:r>
        <w:rPr>
          <w:color w:val="231F20"/>
          <w:spacing w:val="-2"/>
          <w:w w:val="105"/>
        </w:rPr>
        <w:t>is</w:t>
      </w:r>
      <w:r>
        <w:rPr>
          <w:color w:val="231F20"/>
          <w:spacing w:val="-8"/>
          <w:w w:val="105"/>
        </w:rPr>
        <w:t> </w:t>
      </w:r>
      <w:r>
        <w:rPr>
          <w:color w:val="231F20"/>
          <w:spacing w:val="-2"/>
          <w:w w:val="105"/>
        </w:rPr>
        <w:t>further</w:t>
      </w:r>
      <w:r>
        <w:rPr>
          <w:color w:val="231F20"/>
          <w:spacing w:val="-8"/>
          <w:w w:val="105"/>
        </w:rPr>
        <w:t> </w:t>
      </w:r>
      <w:r>
        <w:rPr>
          <w:color w:val="231F20"/>
          <w:spacing w:val="-2"/>
          <w:w w:val="105"/>
        </w:rPr>
        <w:t>necessitated</w:t>
      </w:r>
      <w:r>
        <w:rPr>
          <w:color w:val="231F20"/>
          <w:spacing w:val="-8"/>
          <w:w w:val="105"/>
        </w:rPr>
        <w:t> </w:t>
      </w:r>
      <w:r>
        <w:rPr>
          <w:color w:val="231F20"/>
          <w:spacing w:val="-2"/>
          <w:w w:val="105"/>
        </w:rPr>
        <w:t>by</w:t>
      </w:r>
      <w:r>
        <w:rPr>
          <w:color w:val="231F20"/>
          <w:spacing w:val="-8"/>
          <w:w w:val="105"/>
        </w:rPr>
        <w:t> </w:t>
      </w:r>
      <w:r>
        <w:rPr>
          <w:color w:val="231F20"/>
          <w:spacing w:val="-2"/>
          <w:w w:val="105"/>
        </w:rPr>
        <w:t>our</w:t>
      </w:r>
      <w:r>
        <w:rPr>
          <w:color w:val="231F20"/>
          <w:spacing w:val="-8"/>
          <w:w w:val="105"/>
        </w:rPr>
        <w:t> </w:t>
      </w:r>
      <w:r>
        <w:rPr>
          <w:color w:val="231F20"/>
          <w:spacing w:val="-2"/>
          <w:w w:val="105"/>
        </w:rPr>
        <w:t>latest </w:t>
      </w:r>
      <w:r>
        <w:rPr>
          <w:color w:val="231F20"/>
          <w:w w:val="105"/>
        </w:rPr>
        <w:t>Investor</w:t>
      </w:r>
      <w:r>
        <w:rPr>
          <w:color w:val="231F20"/>
          <w:w w:val="105"/>
        </w:rPr>
        <w:t> Survey,</w:t>
      </w:r>
      <w:r>
        <w:rPr>
          <w:color w:val="231F20"/>
          <w:w w:val="105"/>
        </w:rPr>
        <w:t> which</w:t>
      </w:r>
      <w:r>
        <w:rPr>
          <w:color w:val="231F20"/>
          <w:w w:val="105"/>
        </w:rPr>
        <w:t> revealed</w:t>
      </w:r>
      <w:r>
        <w:rPr>
          <w:color w:val="231F20"/>
          <w:w w:val="105"/>
        </w:rPr>
        <w:t> that</w:t>
      </w:r>
      <w:r>
        <w:rPr>
          <w:color w:val="231F20"/>
          <w:w w:val="105"/>
        </w:rPr>
        <w:t> 62</w:t>
      </w:r>
      <w:r>
        <w:rPr>
          <w:color w:val="231F20"/>
          <w:w w:val="105"/>
        </w:rPr>
        <w:t> per</w:t>
      </w:r>
      <w:r>
        <w:rPr>
          <w:color w:val="231F20"/>
          <w:w w:val="105"/>
        </w:rPr>
        <w:t> cent of investors are influenced by finfluencers </w:t>
      </w:r>
      <w:r>
        <w:rPr>
          <w:color w:val="231F20"/>
          <w:w w:val="115"/>
        </w:rPr>
        <w:t>-</w:t>
      </w:r>
      <w:r>
        <w:rPr>
          <w:color w:val="231F20"/>
          <w:spacing w:val="-1"/>
          <w:w w:val="115"/>
        </w:rPr>
        <w:t> </w:t>
      </w:r>
      <w:r>
        <w:rPr>
          <w:color w:val="231F20"/>
          <w:w w:val="105"/>
        </w:rPr>
        <w:t>many of whom operate without accountability or verified performance data.</w:t>
      </w:r>
    </w:p>
    <w:p>
      <w:pPr>
        <w:pStyle w:val="BodyText"/>
        <w:spacing w:line="297" w:lineRule="auto" w:before="156"/>
        <w:ind w:right="126"/>
      </w:pPr>
      <w:r>
        <w:rPr>
          <w:color w:val="231F20"/>
        </w:rPr>
        <w:t>Building upon these layers of individual safety,</w:t>
      </w:r>
      <w:r>
        <w:rPr>
          <w:color w:val="231F20"/>
          <w:spacing w:val="80"/>
        </w:rPr>
        <w:t> </w:t>
      </w:r>
      <w:r>
        <w:rPr>
          <w:color w:val="231F20"/>
        </w:rPr>
        <w:t>SEBI has made a generational leap in supervisory technology (SupTech) through the launch of Project Sudarsan – a tool developed to monitor unsolicited financial</w:t>
      </w:r>
      <w:r>
        <w:rPr>
          <w:color w:val="231F20"/>
          <w:spacing w:val="-16"/>
        </w:rPr>
        <w:t> </w:t>
      </w:r>
      <w:r>
        <w:rPr>
          <w:color w:val="231F20"/>
        </w:rPr>
        <w:t>advice</w:t>
      </w:r>
      <w:r>
        <w:rPr>
          <w:color w:val="231F20"/>
          <w:spacing w:val="-15"/>
        </w:rPr>
        <w:t> </w:t>
      </w:r>
      <w:r>
        <w:rPr>
          <w:color w:val="231F20"/>
        </w:rPr>
        <w:t>on</w:t>
      </w:r>
      <w:r>
        <w:rPr>
          <w:color w:val="231F20"/>
          <w:spacing w:val="-15"/>
        </w:rPr>
        <w:t> </w:t>
      </w:r>
      <w:r>
        <w:rPr>
          <w:color w:val="231F20"/>
        </w:rPr>
        <w:t>social</w:t>
      </w:r>
      <w:r>
        <w:rPr>
          <w:color w:val="231F20"/>
          <w:spacing w:val="-16"/>
        </w:rPr>
        <w:t> </w:t>
      </w:r>
      <w:r>
        <w:rPr>
          <w:color w:val="231F20"/>
        </w:rPr>
        <w:t>media</w:t>
      </w:r>
      <w:r>
        <w:rPr>
          <w:color w:val="231F20"/>
          <w:spacing w:val="-15"/>
        </w:rPr>
        <w:t> </w:t>
      </w:r>
      <w:r>
        <w:rPr>
          <w:color w:val="231F20"/>
        </w:rPr>
        <w:t>and</w:t>
      </w:r>
      <w:r>
        <w:rPr>
          <w:color w:val="231F20"/>
          <w:spacing w:val="-15"/>
        </w:rPr>
        <w:t> </w:t>
      </w:r>
      <w:r>
        <w:rPr>
          <w:color w:val="231F20"/>
        </w:rPr>
        <w:t>SEBI</w:t>
      </w:r>
      <w:r>
        <w:rPr>
          <w:color w:val="231F20"/>
          <w:spacing w:val="-15"/>
        </w:rPr>
        <w:t> </w:t>
      </w:r>
      <w:r>
        <w:rPr>
          <w:color w:val="231F20"/>
        </w:rPr>
        <w:t>R(AI)DAR, an</w:t>
      </w:r>
      <w:r>
        <w:rPr>
          <w:color w:val="231F20"/>
          <w:spacing w:val="-16"/>
        </w:rPr>
        <w:t> </w:t>
      </w:r>
      <w:r>
        <w:rPr>
          <w:color w:val="231F20"/>
        </w:rPr>
        <w:t>AI-enabled</w:t>
      </w:r>
      <w:r>
        <w:rPr>
          <w:color w:val="231F20"/>
          <w:spacing w:val="-15"/>
        </w:rPr>
        <w:t> </w:t>
      </w:r>
      <w:r>
        <w:rPr>
          <w:color w:val="231F20"/>
        </w:rPr>
        <w:t>platform</w:t>
      </w:r>
      <w:r>
        <w:rPr>
          <w:color w:val="231F20"/>
          <w:spacing w:val="-15"/>
        </w:rPr>
        <w:t> </w:t>
      </w:r>
      <w:r>
        <w:rPr>
          <w:color w:val="231F20"/>
        </w:rPr>
        <w:t>for</w:t>
      </w:r>
      <w:r>
        <w:rPr>
          <w:color w:val="231F20"/>
          <w:spacing w:val="-16"/>
        </w:rPr>
        <w:t> </w:t>
      </w:r>
      <w:r>
        <w:rPr>
          <w:color w:val="231F20"/>
        </w:rPr>
        <w:t>reviewing</w:t>
      </w:r>
      <w:r>
        <w:rPr>
          <w:color w:val="231F20"/>
          <w:spacing w:val="-15"/>
        </w:rPr>
        <w:t> </w:t>
      </w:r>
      <w:r>
        <w:rPr>
          <w:color w:val="231F20"/>
        </w:rPr>
        <w:t>advertisements. These</w:t>
      </w:r>
      <w:r>
        <w:rPr>
          <w:color w:val="231F20"/>
          <w:spacing w:val="-9"/>
        </w:rPr>
        <w:t> </w:t>
      </w:r>
      <w:r>
        <w:rPr>
          <w:color w:val="231F20"/>
        </w:rPr>
        <w:t>tools</w:t>
      </w:r>
      <w:r>
        <w:rPr>
          <w:color w:val="231F20"/>
          <w:spacing w:val="-9"/>
        </w:rPr>
        <w:t> </w:t>
      </w:r>
      <w:r>
        <w:rPr>
          <w:color w:val="231F20"/>
        </w:rPr>
        <w:t>allow</w:t>
      </w:r>
      <w:r>
        <w:rPr>
          <w:color w:val="231F20"/>
          <w:spacing w:val="-9"/>
        </w:rPr>
        <w:t> </w:t>
      </w:r>
      <w:r>
        <w:rPr>
          <w:color w:val="231F20"/>
        </w:rPr>
        <w:t>us</w:t>
      </w:r>
      <w:r>
        <w:rPr>
          <w:color w:val="231F20"/>
          <w:spacing w:val="-9"/>
        </w:rPr>
        <w:t> </w:t>
      </w:r>
      <w:r>
        <w:rPr>
          <w:color w:val="231F20"/>
        </w:rPr>
        <w:t>to</w:t>
      </w:r>
      <w:r>
        <w:rPr>
          <w:color w:val="231F20"/>
          <w:spacing w:val="-9"/>
        </w:rPr>
        <w:t> </w:t>
      </w:r>
      <w:r>
        <w:rPr>
          <w:color w:val="231F20"/>
        </w:rPr>
        <w:t>actively</w:t>
      </w:r>
      <w:r>
        <w:rPr>
          <w:color w:val="231F20"/>
          <w:spacing w:val="-9"/>
        </w:rPr>
        <w:t> </w:t>
      </w:r>
      <w:r>
        <w:rPr>
          <w:color w:val="231F20"/>
        </w:rPr>
        <w:t>identify</w:t>
      </w:r>
      <w:r>
        <w:rPr>
          <w:color w:val="231F20"/>
          <w:spacing w:val="-9"/>
        </w:rPr>
        <w:t> </w:t>
      </w:r>
      <w:r>
        <w:rPr>
          <w:color w:val="231F20"/>
        </w:rPr>
        <w:t>unauthorized digital activity and finfluencers who may mislead investors through unverified claims.</w:t>
      </w:r>
    </w:p>
    <w:p>
      <w:pPr>
        <w:pStyle w:val="BodyText"/>
        <w:spacing w:line="297" w:lineRule="auto"/>
        <w:ind w:right="125"/>
      </w:pPr>
      <w:r>
        <w:rPr>
          <w:color w:val="231F20"/>
          <w:w w:val="105"/>
        </w:rPr>
        <w:t>To</w:t>
      </w:r>
      <w:r>
        <w:rPr>
          <w:color w:val="231F20"/>
          <w:spacing w:val="-10"/>
          <w:w w:val="105"/>
        </w:rPr>
        <w:t> </w:t>
      </w:r>
      <w:r>
        <w:rPr>
          <w:color w:val="231F20"/>
          <w:w w:val="105"/>
        </w:rPr>
        <w:t>address</w:t>
      </w:r>
      <w:r>
        <w:rPr>
          <w:color w:val="231F20"/>
          <w:spacing w:val="-10"/>
          <w:w w:val="105"/>
        </w:rPr>
        <w:t> </w:t>
      </w:r>
      <w:r>
        <w:rPr>
          <w:color w:val="231F20"/>
          <w:w w:val="105"/>
        </w:rPr>
        <w:t>the</w:t>
      </w:r>
      <w:r>
        <w:rPr>
          <w:color w:val="231F20"/>
          <w:spacing w:val="-10"/>
          <w:w w:val="105"/>
        </w:rPr>
        <w:t> </w:t>
      </w:r>
      <w:r>
        <w:rPr>
          <w:color w:val="231F20"/>
          <w:w w:val="105"/>
        </w:rPr>
        <w:t>resulting</w:t>
      </w:r>
      <w:r>
        <w:rPr>
          <w:color w:val="231F20"/>
          <w:spacing w:val="-10"/>
          <w:w w:val="105"/>
        </w:rPr>
        <w:t> </w:t>
      </w:r>
      <w:r>
        <w:rPr>
          <w:color w:val="231F20"/>
          <w:w w:val="105"/>
        </w:rPr>
        <w:t>information</w:t>
      </w:r>
      <w:r>
        <w:rPr>
          <w:color w:val="231F20"/>
          <w:spacing w:val="-10"/>
          <w:w w:val="105"/>
        </w:rPr>
        <w:t> </w:t>
      </w:r>
      <w:r>
        <w:rPr>
          <w:color w:val="231F20"/>
          <w:w w:val="105"/>
        </w:rPr>
        <w:t>asymmetry</w:t>
      </w:r>
      <w:r>
        <w:rPr>
          <w:color w:val="231F20"/>
          <w:spacing w:val="-10"/>
          <w:w w:val="105"/>
        </w:rPr>
        <w:t> </w:t>
      </w:r>
      <w:r>
        <w:rPr>
          <w:color w:val="231F20"/>
          <w:w w:val="105"/>
        </w:rPr>
        <w:t>in performance reporting, the launch of the past risk and</w:t>
      </w:r>
      <w:r>
        <w:rPr>
          <w:color w:val="231F20"/>
          <w:spacing w:val="39"/>
          <w:w w:val="105"/>
        </w:rPr>
        <w:t> </w:t>
      </w:r>
      <w:r>
        <w:rPr>
          <w:color w:val="231F20"/>
          <w:w w:val="105"/>
        </w:rPr>
        <w:t>return</w:t>
      </w:r>
      <w:r>
        <w:rPr>
          <w:color w:val="231F20"/>
          <w:spacing w:val="39"/>
          <w:w w:val="105"/>
        </w:rPr>
        <w:t> </w:t>
      </w:r>
      <w:r>
        <w:rPr>
          <w:color w:val="231F20"/>
          <w:w w:val="105"/>
        </w:rPr>
        <w:t>verification</w:t>
      </w:r>
      <w:r>
        <w:rPr>
          <w:color w:val="231F20"/>
          <w:spacing w:val="39"/>
          <w:w w:val="105"/>
        </w:rPr>
        <w:t> </w:t>
      </w:r>
      <w:r>
        <w:rPr>
          <w:color w:val="231F20"/>
          <w:w w:val="105"/>
        </w:rPr>
        <w:t>agency</w:t>
      </w:r>
      <w:r>
        <w:rPr>
          <w:color w:val="231F20"/>
          <w:spacing w:val="39"/>
          <w:w w:val="105"/>
        </w:rPr>
        <w:t> </w:t>
      </w:r>
      <w:r>
        <w:rPr>
          <w:color w:val="231F20"/>
          <w:w w:val="105"/>
        </w:rPr>
        <w:t>(PaRRVA)</w:t>
      </w:r>
      <w:r>
        <w:rPr>
          <w:color w:val="231F20"/>
          <w:spacing w:val="39"/>
          <w:w w:val="105"/>
        </w:rPr>
        <w:t> </w:t>
      </w:r>
      <w:r>
        <w:rPr>
          <w:color w:val="231F20"/>
          <w:w w:val="105"/>
        </w:rPr>
        <w:t>marks a</w:t>
      </w:r>
      <w:r>
        <w:rPr>
          <w:color w:val="231F20"/>
          <w:w w:val="105"/>
        </w:rPr>
        <w:t> transformative</w:t>
      </w:r>
      <w:r>
        <w:rPr>
          <w:color w:val="231F20"/>
          <w:w w:val="105"/>
        </w:rPr>
        <w:t> step</w:t>
      </w:r>
      <w:r>
        <w:rPr>
          <w:color w:val="231F20"/>
          <w:w w:val="105"/>
        </w:rPr>
        <w:t> towards</w:t>
      </w:r>
      <w:r>
        <w:rPr>
          <w:color w:val="231F20"/>
          <w:w w:val="105"/>
        </w:rPr>
        <w:t> institutionalizing performance</w:t>
      </w:r>
      <w:r>
        <w:rPr>
          <w:color w:val="231F20"/>
          <w:w w:val="105"/>
        </w:rPr>
        <w:t> claim.</w:t>
      </w:r>
      <w:r>
        <w:rPr>
          <w:color w:val="231F20"/>
          <w:w w:val="105"/>
        </w:rPr>
        <w:t> By</w:t>
      </w:r>
      <w:r>
        <w:rPr>
          <w:color w:val="231F20"/>
          <w:w w:val="105"/>
        </w:rPr>
        <w:t> providing</w:t>
      </w:r>
      <w:r>
        <w:rPr>
          <w:color w:val="231F20"/>
          <w:w w:val="105"/>
        </w:rPr>
        <w:t> an</w:t>
      </w:r>
      <w:r>
        <w:rPr>
          <w:color w:val="231F20"/>
          <w:w w:val="105"/>
        </w:rPr>
        <w:t> independent digital</w:t>
      </w:r>
      <w:r>
        <w:rPr>
          <w:color w:val="231F20"/>
          <w:w w:val="105"/>
        </w:rPr>
        <w:t> audit</w:t>
      </w:r>
      <w:r>
        <w:rPr>
          <w:color w:val="231F20"/>
          <w:w w:val="105"/>
        </w:rPr>
        <w:t> of</w:t>
      </w:r>
      <w:r>
        <w:rPr>
          <w:color w:val="231F20"/>
          <w:w w:val="105"/>
        </w:rPr>
        <w:t> claims</w:t>
      </w:r>
      <w:r>
        <w:rPr>
          <w:color w:val="231F20"/>
          <w:w w:val="105"/>
        </w:rPr>
        <w:t> made</w:t>
      </w:r>
      <w:r>
        <w:rPr>
          <w:color w:val="231F20"/>
          <w:w w:val="105"/>
        </w:rPr>
        <w:t> by</w:t>
      </w:r>
      <w:r>
        <w:rPr>
          <w:color w:val="231F20"/>
          <w:w w:val="105"/>
        </w:rPr>
        <w:t> intermediaries, </w:t>
      </w:r>
      <w:r>
        <w:rPr>
          <w:color w:val="231F20"/>
          <w:spacing w:val="-2"/>
          <w:w w:val="105"/>
        </w:rPr>
        <w:t>PaRRVA</w:t>
      </w:r>
      <w:r>
        <w:rPr>
          <w:color w:val="231F20"/>
          <w:spacing w:val="8"/>
          <w:w w:val="105"/>
        </w:rPr>
        <w:t> </w:t>
      </w:r>
      <w:r>
        <w:rPr>
          <w:color w:val="231F20"/>
          <w:spacing w:val="-2"/>
          <w:w w:val="105"/>
        </w:rPr>
        <w:t>ensures</w:t>
      </w:r>
      <w:r>
        <w:rPr>
          <w:color w:val="231F20"/>
          <w:spacing w:val="9"/>
          <w:w w:val="105"/>
        </w:rPr>
        <w:t> </w:t>
      </w:r>
      <w:r>
        <w:rPr>
          <w:color w:val="231F20"/>
          <w:spacing w:val="-2"/>
          <w:w w:val="105"/>
        </w:rPr>
        <w:t>that</w:t>
      </w:r>
      <w:r>
        <w:rPr>
          <w:color w:val="231F20"/>
          <w:spacing w:val="8"/>
          <w:w w:val="105"/>
        </w:rPr>
        <w:t> </w:t>
      </w:r>
      <w:r>
        <w:rPr>
          <w:color w:val="231F20"/>
          <w:spacing w:val="-2"/>
          <w:w w:val="105"/>
        </w:rPr>
        <w:t>the</w:t>
      </w:r>
      <w:r>
        <w:rPr>
          <w:color w:val="231F20"/>
          <w:spacing w:val="9"/>
          <w:w w:val="105"/>
        </w:rPr>
        <w:t> </w:t>
      </w:r>
      <w:r>
        <w:rPr>
          <w:color w:val="231F20"/>
          <w:spacing w:val="-2"/>
          <w:w w:val="105"/>
        </w:rPr>
        <w:t>competition</w:t>
      </w:r>
      <w:r>
        <w:rPr>
          <w:color w:val="231F20"/>
          <w:spacing w:val="8"/>
          <w:w w:val="105"/>
        </w:rPr>
        <w:t> </w:t>
      </w:r>
      <w:r>
        <w:rPr>
          <w:color w:val="231F20"/>
          <w:spacing w:val="-2"/>
          <w:w w:val="105"/>
        </w:rPr>
        <w:t>for</w:t>
      </w:r>
      <w:r>
        <w:rPr>
          <w:color w:val="231F20"/>
          <w:spacing w:val="9"/>
          <w:w w:val="105"/>
        </w:rPr>
        <w:t> </w:t>
      </w:r>
      <w:r>
        <w:rPr>
          <w:color w:val="231F20"/>
          <w:spacing w:val="-2"/>
          <w:w w:val="105"/>
        </w:rPr>
        <w:t>investor</w:t>
      </w:r>
    </w:p>
    <w:p>
      <w:pPr>
        <w:pStyle w:val="BodyText"/>
        <w:spacing w:after="0" w:line="297" w:lineRule="auto"/>
        <w:sectPr>
          <w:pgSz w:w="12240" w:h="15840"/>
          <w:pgMar w:top="760" w:bottom="280" w:left="720" w:right="720"/>
          <w:cols w:num="2" w:equalWidth="0">
            <w:col w:w="5274" w:space="166"/>
            <w:col w:w="5360"/>
          </w:cols>
        </w:sectPr>
      </w:pPr>
    </w:p>
    <w:p>
      <w:pPr>
        <w:pStyle w:val="BodyText"/>
        <w:spacing w:line="307" w:lineRule="auto" w:before="38"/>
        <w:ind w:right="39"/>
      </w:pPr>
      <w:r>
        <w:rPr/>
        <mc:AlternateContent>
          <mc:Choice Requires="wps">
            <w:drawing>
              <wp:anchor distT="0" distB="0" distL="0" distR="0" allowOverlap="1" layoutInCell="1" locked="0" behindDoc="1" simplePos="0" relativeHeight="487533568">
                <wp:simplePos x="0" y="0"/>
                <wp:positionH relativeFrom="page">
                  <wp:posOffset>0</wp:posOffset>
                </wp:positionH>
                <wp:positionV relativeFrom="page">
                  <wp:posOffset>0</wp:posOffset>
                </wp:positionV>
                <wp:extent cx="7772400" cy="1005840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AF2EE"/>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5782912" id="docshape7" filled="true" fillcolor="#faf2ee" stroked="false">
                <v:fill type="solid"/>
                <w10:wrap type="none"/>
              </v:rect>
            </w:pict>
          </mc:Fallback>
        </mc:AlternateContent>
      </w:r>
      <w:r>
        <w:rPr>
          <w:color w:val="231F20"/>
          <w:w w:val="105"/>
        </w:rPr>
        <w:t>capital</w:t>
      </w:r>
      <w:r>
        <w:rPr>
          <w:color w:val="231F20"/>
          <w:spacing w:val="-2"/>
          <w:w w:val="105"/>
        </w:rPr>
        <w:t> </w:t>
      </w:r>
      <w:r>
        <w:rPr>
          <w:color w:val="231F20"/>
          <w:w w:val="105"/>
        </w:rPr>
        <w:t>is</w:t>
      </w:r>
      <w:r>
        <w:rPr>
          <w:color w:val="231F20"/>
          <w:spacing w:val="-2"/>
          <w:w w:val="105"/>
        </w:rPr>
        <w:t> </w:t>
      </w:r>
      <w:r>
        <w:rPr>
          <w:color w:val="231F20"/>
          <w:w w:val="105"/>
        </w:rPr>
        <w:t>anchored</w:t>
      </w:r>
      <w:r>
        <w:rPr>
          <w:color w:val="231F20"/>
          <w:spacing w:val="-2"/>
          <w:w w:val="105"/>
        </w:rPr>
        <w:t> </w:t>
      </w:r>
      <w:r>
        <w:rPr>
          <w:color w:val="231F20"/>
          <w:w w:val="105"/>
        </w:rPr>
        <w:t>in</w:t>
      </w:r>
      <w:r>
        <w:rPr>
          <w:color w:val="231F20"/>
          <w:spacing w:val="-2"/>
          <w:w w:val="105"/>
        </w:rPr>
        <w:t> </w:t>
      </w:r>
      <w:r>
        <w:rPr>
          <w:color w:val="231F20"/>
          <w:w w:val="105"/>
        </w:rPr>
        <w:t>verified</w:t>
      </w:r>
      <w:r>
        <w:rPr>
          <w:color w:val="231F20"/>
          <w:spacing w:val="-2"/>
          <w:w w:val="105"/>
        </w:rPr>
        <w:t> </w:t>
      </w:r>
      <w:r>
        <w:rPr>
          <w:color w:val="231F20"/>
          <w:w w:val="105"/>
        </w:rPr>
        <w:t>facts,</w:t>
      </w:r>
      <w:r>
        <w:rPr>
          <w:color w:val="231F20"/>
          <w:spacing w:val="-2"/>
          <w:w w:val="105"/>
        </w:rPr>
        <w:t> </w:t>
      </w:r>
      <w:r>
        <w:rPr>
          <w:color w:val="231F20"/>
          <w:w w:val="105"/>
        </w:rPr>
        <w:t>establishing</w:t>
      </w:r>
      <w:r>
        <w:rPr>
          <w:color w:val="231F20"/>
          <w:spacing w:val="-2"/>
          <w:w w:val="105"/>
        </w:rPr>
        <w:t> </w:t>
      </w:r>
      <w:r>
        <w:rPr>
          <w:color w:val="231F20"/>
          <w:w w:val="105"/>
        </w:rPr>
        <w:t>a genuine</w:t>
      </w:r>
      <w:r>
        <w:rPr>
          <w:color w:val="231F20"/>
          <w:w w:val="105"/>
        </w:rPr>
        <w:t> level</w:t>
      </w:r>
      <w:r>
        <w:rPr>
          <w:color w:val="231F20"/>
          <w:w w:val="105"/>
        </w:rPr>
        <w:t> playing</w:t>
      </w:r>
      <w:r>
        <w:rPr>
          <w:color w:val="231F20"/>
          <w:w w:val="105"/>
        </w:rPr>
        <w:t> field</w:t>
      </w:r>
      <w:r>
        <w:rPr>
          <w:color w:val="231F20"/>
          <w:w w:val="105"/>
        </w:rPr>
        <w:t> for</w:t>
      </w:r>
      <w:r>
        <w:rPr>
          <w:color w:val="231F20"/>
          <w:w w:val="105"/>
        </w:rPr>
        <w:t> both</w:t>
      </w:r>
      <w:r>
        <w:rPr>
          <w:color w:val="231F20"/>
          <w:w w:val="105"/>
        </w:rPr>
        <w:t> investors</w:t>
      </w:r>
      <w:r>
        <w:rPr>
          <w:color w:val="231F20"/>
          <w:w w:val="105"/>
        </w:rPr>
        <w:t> and </w:t>
      </w:r>
      <w:r>
        <w:rPr>
          <w:color w:val="231F20"/>
          <w:spacing w:val="-2"/>
          <w:w w:val="105"/>
        </w:rPr>
        <w:t>intermediaries.</w:t>
      </w:r>
    </w:p>
    <w:p>
      <w:pPr>
        <w:pStyle w:val="BodyText"/>
        <w:spacing w:line="307" w:lineRule="auto" w:before="171"/>
      </w:pPr>
      <w:r>
        <w:rPr>
          <w:color w:val="231F20"/>
          <w:w w:val="105"/>
        </w:rPr>
        <w:t>To</w:t>
      </w:r>
      <w:r>
        <w:rPr>
          <w:color w:val="231F20"/>
          <w:w w:val="105"/>
        </w:rPr>
        <w:t> reduce</w:t>
      </w:r>
      <w:r>
        <w:rPr>
          <w:color w:val="231F20"/>
          <w:w w:val="105"/>
        </w:rPr>
        <w:t> unclaimed</w:t>
      </w:r>
      <w:r>
        <w:rPr>
          <w:color w:val="231F20"/>
          <w:w w:val="105"/>
        </w:rPr>
        <w:t> financial</w:t>
      </w:r>
      <w:r>
        <w:rPr>
          <w:color w:val="231F20"/>
          <w:w w:val="105"/>
        </w:rPr>
        <w:t> assets,</w:t>
      </w:r>
      <w:r>
        <w:rPr>
          <w:color w:val="231F20"/>
          <w:w w:val="105"/>
        </w:rPr>
        <w:t> SEBI</w:t>
      </w:r>
      <w:r>
        <w:rPr>
          <w:color w:val="231F20"/>
          <w:w w:val="105"/>
        </w:rPr>
        <w:t> has enabled</w:t>
      </w:r>
      <w:r>
        <w:rPr>
          <w:color w:val="231F20"/>
          <w:w w:val="105"/>
        </w:rPr>
        <w:t> integration</w:t>
      </w:r>
      <w:r>
        <w:rPr>
          <w:color w:val="231F20"/>
          <w:w w:val="105"/>
        </w:rPr>
        <w:t> of</w:t>
      </w:r>
      <w:r>
        <w:rPr>
          <w:color w:val="231F20"/>
          <w:w w:val="105"/>
        </w:rPr>
        <w:t> holdings</w:t>
      </w:r>
      <w:r>
        <w:rPr>
          <w:color w:val="231F20"/>
          <w:w w:val="105"/>
        </w:rPr>
        <w:t> with</w:t>
      </w:r>
      <w:r>
        <w:rPr>
          <w:color w:val="231F20"/>
          <w:w w:val="105"/>
        </w:rPr>
        <w:t> DigiLocker, allowing</w:t>
      </w:r>
      <w:r>
        <w:rPr>
          <w:color w:val="231F20"/>
          <w:spacing w:val="40"/>
          <w:w w:val="105"/>
        </w:rPr>
        <w:t> </w:t>
      </w:r>
      <w:r>
        <w:rPr>
          <w:color w:val="231F20"/>
          <w:w w:val="105"/>
        </w:rPr>
        <w:t>investors</w:t>
      </w:r>
      <w:r>
        <w:rPr>
          <w:color w:val="231F20"/>
          <w:spacing w:val="40"/>
          <w:w w:val="105"/>
        </w:rPr>
        <w:t> </w:t>
      </w:r>
      <w:r>
        <w:rPr>
          <w:color w:val="231F20"/>
          <w:w w:val="105"/>
        </w:rPr>
        <w:t>to</w:t>
      </w:r>
      <w:r>
        <w:rPr>
          <w:color w:val="231F20"/>
          <w:spacing w:val="40"/>
          <w:w w:val="105"/>
        </w:rPr>
        <w:t> </w:t>
      </w:r>
      <w:r>
        <w:rPr>
          <w:color w:val="231F20"/>
          <w:w w:val="105"/>
        </w:rPr>
        <w:t>store</w:t>
      </w:r>
      <w:r>
        <w:rPr>
          <w:color w:val="231F20"/>
          <w:spacing w:val="40"/>
          <w:w w:val="105"/>
        </w:rPr>
        <w:t> </w:t>
      </w:r>
      <w:r>
        <w:rPr>
          <w:color w:val="231F20"/>
          <w:w w:val="105"/>
        </w:rPr>
        <w:t>and</w:t>
      </w:r>
      <w:r>
        <w:rPr>
          <w:color w:val="231F20"/>
          <w:spacing w:val="40"/>
          <w:w w:val="105"/>
        </w:rPr>
        <w:t> </w:t>
      </w:r>
      <w:r>
        <w:rPr>
          <w:color w:val="231F20"/>
          <w:w w:val="105"/>
        </w:rPr>
        <w:t>access</w:t>
      </w:r>
      <w:r>
        <w:rPr>
          <w:color w:val="231F20"/>
          <w:spacing w:val="40"/>
          <w:w w:val="105"/>
        </w:rPr>
        <w:t> </w:t>
      </w:r>
      <w:r>
        <w:rPr>
          <w:color w:val="231F20"/>
          <w:w w:val="105"/>
        </w:rPr>
        <w:t>demat and</w:t>
      </w:r>
      <w:r>
        <w:rPr>
          <w:color w:val="231F20"/>
          <w:w w:val="105"/>
        </w:rPr>
        <w:t> mutual</w:t>
      </w:r>
      <w:r>
        <w:rPr>
          <w:color w:val="231F20"/>
          <w:w w:val="105"/>
        </w:rPr>
        <w:t> fund</w:t>
      </w:r>
      <w:r>
        <w:rPr>
          <w:color w:val="231F20"/>
          <w:w w:val="105"/>
        </w:rPr>
        <w:t> information</w:t>
      </w:r>
      <w:r>
        <w:rPr>
          <w:color w:val="231F20"/>
          <w:w w:val="105"/>
        </w:rPr>
        <w:t> in</w:t>
      </w:r>
      <w:r>
        <w:rPr>
          <w:color w:val="231F20"/>
          <w:w w:val="105"/>
        </w:rPr>
        <w:t> a</w:t>
      </w:r>
      <w:r>
        <w:rPr>
          <w:color w:val="231F20"/>
          <w:w w:val="105"/>
        </w:rPr>
        <w:t> single</w:t>
      </w:r>
      <w:r>
        <w:rPr>
          <w:color w:val="231F20"/>
          <w:w w:val="105"/>
        </w:rPr>
        <w:t> secure location.</w:t>
      </w:r>
      <w:r>
        <w:rPr>
          <w:color w:val="231F20"/>
          <w:w w:val="105"/>
        </w:rPr>
        <w:t> A</w:t>
      </w:r>
      <w:r>
        <w:rPr>
          <w:color w:val="231F20"/>
          <w:w w:val="105"/>
        </w:rPr>
        <w:t> centralized</w:t>
      </w:r>
      <w:r>
        <w:rPr>
          <w:color w:val="231F20"/>
          <w:w w:val="105"/>
        </w:rPr>
        <w:t> reporting</w:t>
      </w:r>
      <w:r>
        <w:rPr>
          <w:color w:val="231F20"/>
          <w:w w:val="105"/>
        </w:rPr>
        <w:t> mechanism</w:t>
      </w:r>
      <w:r>
        <w:rPr>
          <w:color w:val="231F20"/>
          <w:w w:val="105"/>
        </w:rPr>
        <w:t> now enables</w:t>
      </w:r>
      <w:r>
        <w:rPr>
          <w:color w:val="231F20"/>
          <w:w w:val="105"/>
        </w:rPr>
        <w:t> nominees</w:t>
      </w:r>
      <w:r>
        <w:rPr>
          <w:color w:val="231F20"/>
          <w:w w:val="105"/>
        </w:rPr>
        <w:t> to</w:t>
      </w:r>
      <w:r>
        <w:rPr>
          <w:color w:val="231F20"/>
          <w:w w:val="105"/>
        </w:rPr>
        <w:t> report</w:t>
      </w:r>
      <w:r>
        <w:rPr>
          <w:color w:val="231F20"/>
          <w:w w:val="105"/>
        </w:rPr>
        <w:t> the</w:t>
      </w:r>
      <w:r>
        <w:rPr>
          <w:color w:val="231F20"/>
          <w:w w:val="105"/>
        </w:rPr>
        <w:t> demise</w:t>
      </w:r>
      <w:r>
        <w:rPr>
          <w:color w:val="231F20"/>
          <w:w w:val="105"/>
        </w:rPr>
        <w:t> of</w:t>
      </w:r>
      <w:r>
        <w:rPr>
          <w:color w:val="231F20"/>
          <w:w w:val="105"/>
        </w:rPr>
        <w:t> an </w:t>
      </w:r>
      <w:r>
        <w:rPr>
          <w:color w:val="231F20"/>
        </w:rPr>
        <w:t>investor once with a KRA, triggering updates across </w:t>
      </w:r>
      <w:r>
        <w:rPr>
          <w:color w:val="231F20"/>
          <w:w w:val="105"/>
        </w:rPr>
        <w:t>intermediaries</w:t>
      </w:r>
      <w:r>
        <w:rPr>
          <w:color w:val="231F20"/>
          <w:w w:val="105"/>
        </w:rPr>
        <w:t> without</w:t>
      </w:r>
      <w:r>
        <w:rPr>
          <w:color w:val="231F20"/>
          <w:w w:val="105"/>
        </w:rPr>
        <w:t> repeated</w:t>
      </w:r>
      <w:r>
        <w:rPr>
          <w:color w:val="231F20"/>
          <w:w w:val="105"/>
        </w:rPr>
        <w:t> processes.</w:t>
      </w:r>
      <w:r>
        <w:rPr>
          <w:color w:val="231F20"/>
          <w:w w:val="105"/>
        </w:rPr>
        <w:t> SEBI </w:t>
      </w:r>
      <w:r>
        <w:rPr>
          <w:color w:val="231F20"/>
        </w:rPr>
        <w:t>has also streamlined the process of transmission of </w:t>
      </w:r>
      <w:r>
        <w:rPr>
          <w:color w:val="231F20"/>
          <w:w w:val="105"/>
        </w:rPr>
        <w:t>securities</w:t>
      </w:r>
      <w:r>
        <w:rPr>
          <w:color w:val="231F20"/>
          <w:spacing w:val="-14"/>
          <w:w w:val="105"/>
        </w:rPr>
        <w:t> </w:t>
      </w:r>
      <w:r>
        <w:rPr>
          <w:color w:val="231F20"/>
          <w:w w:val="105"/>
        </w:rPr>
        <w:t>from</w:t>
      </w:r>
      <w:r>
        <w:rPr>
          <w:color w:val="231F20"/>
          <w:spacing w:val="-14"/>
          <w:w w:val="105"/>
        </w:rPr>
        <w:t> </w:t>
      </w:r>
      <w:r>
        <w:rPr>
          <w:color w:val="231F20"/>
          <w:w w:val="105"/>
        </w:rPr>
        <w:t>nominee</w:t>
      </w:r>
      <w:r>
        <w:rPr>
          <w:color w:val="231F20"/>
          <w:spacing w:val="-14"/>
          <w:w w:val="105"/>
        </w:rPr>
        <w:t> </w:t>
      </w:r>
      <w:r>
        <w:rPr>
          <w:color w:val="231F20"/>
          <w:w w:val="105"/>
        </w:rPr>
        <w:t>to</w:t>
      </w:r>
      <w:r>
        <w:rPr>
          <w:color w:val="231F20"/>
          <w:spacing w:val="-14"/>
          <w:w w:val="105"/>
        </w:rPr>
        <w:t> </w:t>
      </w:r>
      <w:r>
        <w:rPr>
          <w:color w:val="231F20"/>
          <w:w w:val="105"/>
        </w:rPr>
        <w:t>legal</w:t>
      </w:r>
      <w:r>
        <w:rPr>
          <w:color w:val="231F20"/>
          <w:spacing w:val="-14"/>
          <w:w w:val="105"/>
        </w:rPr>
        <w:t> </w:t>
      </w:r>
      <w:r>
        <w:rPr>
          <w:color w:val="231F20"/>
          <w:w w:val="105"/>
        </w:rPr>
        <w:t>heir</w:t>
      </w:r>
      <w:r>
        <w:rPr>
          <w:color w:val="231F20"/>
          <w:spacing w:val="-14"/>
          <w:w w:val="105"/>
        </w:rPr>
        <w:t> </w:t>
      </w:r>
      <w:r>
        <w:rPr>
          <w:color w:val="231F20"/>
          <w:w w:val="105"/>
        </w:rPr>
        <w:t>by</w:t>
      </w:r>
      <w:r>
        <w:rPr>
          <w:color w:val="231F20"/>
          <w:spacing w:val="-14"/>
          <w:w w:val="105"/>
        </w:rPr>
        <w:t> </w:t>
      </w:r>
      <w:r>
        <w:rPr>
          <w:color w:val="231F20"/>
          <w:w w:val="105"/>
        </w:rPr>
        <w:t>mandating the</w:t>
      </w:r>
      <w:r>
        <w:rPr>
          <w:color w:val="231F20"/>
          <w:spacing w:val="-3"/>
          <w:w w:val="105"/>
        </w:rPr>
        <w:t> </w:t>
      </w:r>
      <w:r>
        <w:rPr>
          <w:color w:val="231F20"/>
          <w:w w:val="105"/>
        </w:rPr>
        <w:t>reporting</w:t>
      </w:r>
      <w:r>
        <w:rPr>
          <w:color w:val="231F20"/>
          <w:spacing w:val="-3"/>
          <w:w w:val="105"/>
        </w:rPr>
        <w:t> </w:t>
      </w:r>
      <w:r>
        <w:rPr>
          <w:color w:val="231F20"/>
          <w:w w:val="105"/>
        </w:rPr>
        <w:t>entities</w:t>
      </w:r>
      <w:r>
        <w:rPr>
          <w:color w:val="231F20"/>
          <w:spacing w:val="-3"/>
          <w:w w:val="105"/>
        </w:rPr>
        <w:t> </w:t>
      </w:r>
      <w:r>
        <w:rPr>
          <w:color w:val="231F20"/>
          <w:w w:val="105"/>
        </w:rPr>
        <w:t>to</w:t>
      </w:r>
      <w:r>
        <w:rPr>
          <w:color w:val="231F20"/>
          <w:spacing w:val="-3"/>
          <w:w w:val="105"/>
        </w:rPr>
        <w:t> </w:t>
      </w:r>
      <w:r>
        <w:rPr>
          <w:color w:val="231F20"/>
          <w:w w:val="105"/>
        </w:rPr>
        <w:t>use</w:t>
      </w:r>
      <w:r>
        <w:rPr>
          <w:color w:val="231F20"/>
          <w:spacing w:val="-3"/>
          <w:w w:val="105"/>
        </w:rPr>
        <w:t> </w:t>
      </w:r>
      <w:r>
        <w:rPr>
          <w:color w:val="231F20"/>
          <w:w w:val="105"/>
        </w:rPr>
        <w:t>standard</w:t>
      </w:r>
      <w:r>
        <w:rPr>
          <w:color w:val="231F20"/>
          <w:spacing w:val="-3"/>
          <w:w w:val="105"/>
        </w:rPr>
        <w:t> </w:t>
      </w:r>
      <w:r>
        <w:rPr>
          <w:color w:val="231F20"/>
          <w:w w:val="105"/>
        </w:rPr>
        <w:t>reason</w:t>
      </w:r>
      <w:r>
        <w:rPr>
          <w:color w:val="231F20"/>
          <w:spacing w:val="-3"/>
          <w:w w:val="105"/>
        </w:rPr>
        <w:t> </w:t>
      </w:r>
      <w:r>
        <w:rPr>
          <w:color w:val="231F20"/>
          <w:w w:val="105"/>
        </w:rPr>
        <w:t>code while</w:t>
      </w:r>
      <w:r>
        <w:rPr>
          <w:color w:val="231F20"/>
          <w:spacing w:val="-8"/>
          <w:w w:val="105"/>
        </w:rPr>
        <w:t> </w:t>
      </w:r>
      <w:r>
        <w:rPr>
          <w:color w:val="231F20"/>
          <w:w w:val="105"/>
        </w:rPr>
        <w:t>reporting</w:t>
      </w:r>
      <w:r>
        <w:rPr>
          <w:color w:val="231F20"/>
          <w:spacing w:val="-7"/>
          <w:w w:val="105"/>
        </w:rPr>
        <w:t> </w:t>
      </w:r>
      <w:r>
        <w:rPr>
          <w:color w:val="231F20"/>
          <w:w w:val="105"/>
        </w:rPr>
        <w:t>the</w:t>
      </w:r>
      <w:r>
        <w:rPr>
          <w:color w:val="231F20"/>
          <w:spacing w:val="-7"/>
          <w:w w:val="105"/>
        </w:rPr>
        <w:t> </w:t>
      </w:r>
      <w:r>
        <w:rPr>
          <w:color w:val="231F20"/>
          <w:w w:val="105"/>
        </w:rPr>
        <w:t>transmission</w:t>
      </w:r>
      <w:r>
        <w:rPr>
          <w:color w:val="231F20"/>
          <w:spacing w:val="-7"/>
          <w:w w:val="105"/>
        </w:rPr>
        <w:t> </w:t>
      </w:r>
      <w:r>
        <w:rPr>
          <w:color w:val="231F20"/>
          <w:w w:val="105"/>
        </w:rPr>
        <w:t>to</w:t>
      </w:r>
      <w:r>
        <w:rPr>
          <w:color w:val="231F20"/>
          <w:spacing w:val="-8"/>
          <w:w w:val="105"/>
        </w:rPr>
        <w:t> </w:t>
      </w:r>
      <w:r>
        <w:rPr>
          <w:color w:val="231F20"/>
          <w:w w:val="105"/>
        </w:rPr>
        <w:t>the</w:t>
      </w:r>
      <w:r>
        <w:rPr>
          <w:color w:val="231F20"/>
          <w:spacing w:val="-7"/>
          <w:w w:val="105"/>
        </w:rPr>
        <w:t> </w:t>
      </w:r>
      <w:r>
        <w:rPr>
          <w:color w:val="231F20"/>
          <w:w w:val="105"/>
        </w:rPr>
        <w:t>CBDT.</w:t>
      </w:r>
    </w:p>
    <w:p>
      <w:pPr>
        <w:pStyle w:val="BodyText"/>
        <w:spacing w:line="307" w:lineRule="auto" w:before="173"/>
      </w:pPr>
      <w:r>
        <w:rPr>
          <w:color w:val="231F20"/>
        </w:rPr>
        <w:t>But we recognise that even the strongest systems cannot replace awareness, which remains the core foundation of investor protection. Around 63,000 awareness programmes were organised across 36 states</w:t>
      </w:r>
      <w:r>
        <w:rPr>
          <w:color w:val="231F20"/>
          <w:spacing w:val="-15"/>
        </w:rPr>
        <w:t> </w:t>
      </w:r>
      <w:r>
        <w:rPr>
          <w:color w:val="231F20"/>
        </w:rPr>
        <w:t>and</w:t>
      </w:r>
      <w:r>
        <w:rPr>
          <w:color w:val="231F20"/>
          <w:spacing w:val="-15"/>
        </w:rPr>
        <w:t> </w:t>
      </w:r>
      <w:r>
        <w:rPr>
          <w:color w:val="231F20"/>
        </w:rPr>
        <w:t>UTs</w:t>
      </w:r>
      <w:r>
        <w:rPr>
          <w:color w:val="231F20"/>
          <w:spacing w:val="-15"/>
        </w:rPr>
        <w:t> </w:t>
      </w:r>
      <w:r>
        <w:rPr>
          <w:color w:val="231F20"/>
        </w:rPr>
        <w:t>in</w:t>
      </w:r>
      <w:r>
        <w:rPr>
          <w:color w:val="231F20"/>
          <w:spacing w:val="-16"/>
        </w:rPr>
        <w:t> </w:t>
      </w:r>
      <w:r>
        <w:rPr>
          <w:color w:val="231F20"/>
        </w:rPr>
        <w:t>2025-26.</w:t>
      </w:r>
      <w:r>
        <w:rPr>
          <w:color w:val="231F20"/>
          <w:spacing w:val="-15"/>
        </w:rPr>
        <w:t> </w:t>
      </w:r>
      <w:r>
        <w:rPr>
          <w:color w:val="231F20"/>
        </w:rPr>
        <w:t>In</w:t>
      </w:r>
      <w:r>
        <w:rPr>
          <w:color w:val="231F20"/>
          <w:spacing w:val="-15"/>
        </w:rPr>
        <w:t> </w:t>
      </w:r>
      <w:r>
        <w:rPr>
          <w:color w:val="231F20"/>
        </w:rPr>
        <w:t>collaboration</w:t>
      </w:r>
      <w:r>
        <w:rPr>
          <w:color w:val="231F20"/>
          <w:spacing w:val="-15"/>
        </w:rPr>
        <w:t> </w:t>
      </w:r>
      <w:r>
        <w:rPr>
          <w:color w:val="231F20"/>
        </w:rPr>
        <w:t>with</w:t>
      </w:r>
      <w:r>
        <w:rPr>
          <w:color w:val="231F20"/>
          <w:spacing w:val="-15"/>
        </w:rPr>
        <w:t> </w:t>
      </w:r>
      <w:r>
        <w:rPr>
          <w:color w:val="231F20"/>
        </w:rPr>
        <w:t>MIIs, a joint media campaign titled SEBI vs SCAM was launched during the year. We also collaborated with the</w:t>
      </w:r>
      <w:r>
        <w:rPr>
          <w:color w:val="231F20"/>
          <w:spacing w:val="-6"/>
        </w:rPr>
        <w:t> </w:t>
      </w:r>
      <w:r>
        <w:rPr>
          <w:color w:val="231F20"/>
        </w:rPr>
        <w:t>Ministry</w:t>
      </w:r>
      <w:r>
        <w:rPr>
          <w:color w:val="231F20"/>
          <w:spacing w:val="-6"/>
        </w:rPr>
        <w:t> </w:t>
      </w:r>
      <w:r>
        <w:rPr>
          <w:color w:val="231F20"/>
        </w:rPr>
        <w:t>of</w:t>
      </w:r>
      <w:r>
        <w:rPr>
          <w:color w:val="231F20"/>
          <w:spacing w:val="-6"/>
        </w:rPr>
        <w:t> </w:t>
      </w:r>
      <w:r>
        <w:rPr>
          <w:color w:val="231F20"/>
        </w:rPr>
        <w:t>Panchayati</w:t>
      </w:r>
      <w:r>
        <w:rPr>
          <w:color w:val="231F20"/>
          <w:spacing w:val="-6"/>
        </w:rPr>
        <w:t> </w:t>
      </w:r>
      <w:r>
        <w:rPr>
          <w:color w:val="231F20"/>
        </w:rPr>
        <w:t>Raj</w:t>
      </w:r>
      <w:r>
        <w:rPr>
          <w:color w:val="231F20"/>
          <w:spacing w:val="-6"/>
        </w:rPr>
        <w:t> </w:t>
      </w:r>
      <w:r>
        <w:rPr>
          <w:color w:val="231F20"/>
        </w:rPr>
        <w:t>to</w:t>
      </w:r>
      <w:r>
        <w:rPr>
          <w:color w:val="231F20"/>
          <w:spacing w:val="-6"/>
        </w:rPr>
        <w:t> </w:t>
      </w:r>
      <w:r>
        <w:rPr>
          <w:color w:val="231F20"/>
        </w:rPr>
        <w:t>train</w:t>
      </w:r>
      <w:r>
        <w:rPr>
          <w:color w:val="231F20"/>
          <w:spacing w:val="-6"/>
        </w:rPr>
        <w:t> </w:t>
      </w:r>
      <w:r>
        <w:rPr>
          <w:color w:val="231F20"/>
        </w:rPr>
        <w:t>the</w:t>
      </w:r>
      <w:r>
        <w:rPr>
          <w:color w:val="231F20"/>
          <w:spacing w:val="-6"/>
        </w:rPr>
        <w:t> </w:t>
      </w:r>
      <w:r>
        <w:rPr>
          <w:color w:val="231F20"/>
        </w:rPr>
        <w:t>Panchayat and block-level representatives, empowering them with knowledge to educate rural communities at the grassroot level. Niveshak Shivirs were organised throughout the year across India jointly with MCA. All these initiatives underline SEBI’s mission to deepen</w:t>
      </w:r>
      <w:r>
        <w:rPr>
          <w:color w:val="231F20"/>
          <w:spacing w:val="-7"/>
        </w:rPr>
        <w:t> </w:t>
      </w:r>
      <w:r>
        <w:rPr>
          <w:color w:val="231F20"/>
        </w:rPr>
        <w:t>awareness</w:t>
      </w:r>
      <w:r>
        <w:rPr>
          <w:color w:val="231F20"/>
          <w:spacing w:val="-7"/>
        </w:rPr>
        <w:t> </w:t>
      </w:r>
      <w:r>
        <w:rPr>
          <w:color w:val="231F20"/>
        </w:rPr>
        <w:t>and</w:t>
      </w:r>
      <w:r>
        <w:rPr>
          <w:color w:val="231F20"/>
          <w:spacing w:val="-7"/>
        </w:rPr>
        <w:t> </w:t>
      </w:r>
      <w:r>
        <w:rPr>
          <w:color w:val="231F20"/>
        </w:rPr>
        <w:t>nurture</w:t>
      </w:r>
      <w:r>
        <w:rPr>
          <w:color w:val="231F20"/>
          <w:spacing w:val="-7"/>
        </w:rPr>
        <w:t> </w:t>
      </w:r>
      <w:r>
        <w:rPr>
          <w:color w:val="231F20"/>
        </w:rPr>
        <w:t>a</w:t>
      </w:r>
      <w:r>
        <w:rPr>
          <w:color w:val="231F20"/>
          <w:spacing w:val="-7"/>
        </w:rPr>
        <w:t> </w:t>
      </w:r>
      <w:r>
        <w:rPr>
          <w:color w:val="231F20"/>
        </w:rPr>
        <w:t>culture</w:t>
      </w:r>
      <w:r>
        <w:rPr>
          <w:color w:val="231F20"/>
          <w:spacing w:val="-7"/>
        </w:rPr>
        <w:t> </w:t>
      </w:r>
      <w:r>
        <w:rPr>
          <w:color w:val="231F20"/>
        </w:rPr>
        <w:t>of</w:t>
      </w:r>
      <w:r>
        <w:rPr>
          <w:color w:val="231F20"/>
          <w:spacing w:val="-7"/>
        </w:rPr>
        <w:t> </w:t>
      </w:r>
      <w:r>
        <w:rPr>
          <w:color w:val="231F20"/>
        </w:rPr>
        <w:t>informed decision making.</w:t>
      </w:r>
    </w:p>
    <w:p>
      <w:pPr>
        <w:pStyle w:val="BodyText"/>
        <w:spacing w:line="307" w:lineRule="auto" w:before="174"/>
        <w:ind w:right="39"/>
      </w:pPr>
      <w:r>
        <w:rPr>
          <w:color w:val="231F20"/>
        </w:rPr>
        <w:t>Regulatory Evolution: Optimum Regulation and Seamless Access</w:t>
      </w:r>
    </w:p>
    <w:p>
      <w:pPr>
        <w:pStyle w:val="BodyText"/>
        <w:spacing w:line="307" w:lineRule="auto" w:before="171"/>
      </w:pPr>
      <w:r>
        <w:rPr>
          <w:color w:val="231F20"/>
          <w:w w:val="105"/>
        </w:rPr>
        <w:t>SEBI’s</w:t>
      </w:r>
      <w:r>
        <w:rPr>
          <w:color w:val="231F20"/>
          <w:w w:val="105"/>
        </w:rPr>
        <w:t> regulatory</w:t>
      </w:r>
      <w:r>
        <w:rPr>
          <w:color w:val="231F20"/>
          <w:w w:val="105"/>
        </w:rPr>
        <w:t> philosophy</w:t>
      </w:r>
      <w:r>
        <w:rPr>
          <w:color w:val="231F20"/>
          <w:w w:val="105"/>
        </w:rPr>
        <w:t> this</w:t>
      </w:r>
      <w:r>
        <w:rPr>
          <w:color w:val="231F20"/>
          <w:w w:val="105"/>
        </w:rPr>
        <w:t> year</w:t>
      </w:r>
      <w:r>
        <w:rPr>
          <w:color w:val="231F20"/>
          <w:w w:val="105"/>
        </w:rPr>
        <w:t> has</w:t>
      </w:r>
      <w:r>
        <w:rPr>
          <w:color w:val="231F20"/>
          <w:w w:val="105"/>
        </w:rPr>
        <w:t> been guided</w:t>
      </w:r>
      <w:r>
        <w:rPr>
          <w:color w:val="231F20"/>
          <w:w w:val="105"/>
        </w:rPr>
        <w:t> by</w:t>
      </w:r>
      <w:r>
        <w:rPr>
          <w:color w:val="231F20"/>
          <w:w w:val="105"/>
        </w:rPr>
        <w:t> the</w:t>
      </w:r>
      <w:r>
        <w:rPr>
          <w:color w:val="231F20"/>
          <w:w w:val="105"/>
        </w:rPr>
        <w:t> concept</w:t>
      </w:r>
      <w:r>
        <w:rPr>
          <w:color w:val="231F20"/>
          <w:w w:val="105"/>
        </w:rPr>
        <w:t> of</w:t>
      </w:r>
      <w:r>
        <w:rPr>
          <w:color w:val="231F20"/>
          <w:w w:val="105"/>
        </w:rPr>
        <w:t> optimum</w:t>
      </w:r>
      <w:r>
        <w:rPr>
          <w:color w:val="231F20"/>
          <w:w w:val="105"/>
        </w:rPr>
        <w:t> regulation</w:t>
      </w:r>
      <w:r>
        <w:rPr>
          <w:color w:val="231F20"/>
          <w:w w:val="105"/>
        </w:rPr>
        <w:t> </w:t>
      </w:r>
      <w:r>
        <w:rPr>
          <w:color w:val="231F20"/>
          <w:w w:val="115"/>
        </w:rPr>
        <w:t>-</w:t>
      </w:r>
      <w:r>
        <w:rPr>
          <w:color w:val="231F20"/>
          <w:w w:val="115"/>
        </w:rPr>
        <w:t> </w:t>
      </w:r>
      <w:r>
        <w:rPr>
          <w:color w:val="231F20"/>
          <w:w w:val="105"/>
        </w:rPr>
        <w:t>a calibrated</w:t>
      </w:r>
      <w:r>
        <w:rPr>
          <w:color w:val="231F20"/>
          <w:spacing w:val="-8"/>
          <w:w w:val="105"/>
        </w:rPr>
        <w:t> </w:t>
      </w:r>
      <w:r>
        <w:rPr>
          <w:color w:val="231F20"/>
          <w:w w:val="105"/>
        </w:rPr>
        <w:t>approach</w:t>
      </w:r>
      <w:r>
        <w:rPr>
          <w:color w:val="231F20"/>
          <w:spacing w:val="-8"/>
          <w:w w:val="105"/>
        </w:rPr>
        <w:t> </w:t>
      </w:r>
      <w:r>
        <w:rPr>
          <w:color w:val="231F20"/>
          <w:w w:val="105"/>
        </w:rPr>
        <w:t>that</w:t>
      </w:r>
      <w:r>
        <w:rPr>
          <w:color w:val="231F20"/>
          <w:spacing w:val="-8"/>
          <w:w w:val="105"/>
        </w:rPr>
        <w:t> </w:t>
      </w:r>
      <w:r>
        <w:rPr>
          <w:color w:val="231F20"/>
          <w:w w:val="105"/>
        </w:rPr>
        <w:t>holds</w:t>
      </w:r>
      <w:r>
        <w:rPr>
          <w:color w:val="231F20"/>
          <w:spacing w:val="-8"/>
          <w:w w:val="105"/>
        </w:rPr>
        <w:t> </w:t>
      </w:r>
      <w:r>
        <w:rPr>
          <w:color w:val="231F20"/>
          <w:w w:val="105"/>
        </w:rPr>
        <w:t>firm</w:t>
      </w:r>
      <w:r>
        <w:rPr>
          <w:color w:val="231F20"/>
          <w:spacing w:val="-8"/>
          <w:w w:val="105"/>
        </w:rPr>
        <w:t> </w:t>
      </w:r>
      <w:r>
        <w:rPr>
          <w:color w:val="231F20"/>
          <w:w w:val="105"/>
        </w:rPr>
        <w:t>where</w:t>
      </w:r>
      <w:r>
        <w:rPr>
          <w:color w:val="231F20"/>
          <w:spacing w:val="-8"/>
          <w:w w:val="105"/>
        </w:rPr>
        <w:t> </w:t>
      </w:r>
      <w:r>
        <w:rPr>
          <w:color w:val="231F20"/>
          <w:w w:val="105"/>
        </w:rPr>
        <w:t>investor protection</w:t>
      </w:r>
      <w:r>
        <w:rPr>
          <w:color w:val="231F20"/>
          <w:spacing w:val="-12"/>
          <w:w w:val="105"/>
        </w:rPr>
        <w:t> </w:t>
      </w:r>
      <w:r>
        <w:rPr>
          <w:color w:val="231F20"/>
          <w:w w:val="105"/>
        </w:rPr>
        <w:t>requires</w:t>
      </w:r>
      <w:r>
        <w:rPr>
          <w:color w:val="231F20"/>
          <w:spacing w:val="-12"/>
          <w:w w:val="105"/>
        </w:rPr>
        <w:t> </w:t>
      </w:r>
      <w:r>
        <w:rPr>
          <w:color w:val="231F20"/>
          <w:w w:val="105"/>
        </w:rPr>
        <w:t>it,</w:t>
      </w:r>
      <w:r>
        <w:rPr>
          <w:color w:val="231F20"/>
          <w:spacing w:val="-12"/>
          <w:w w:val="105"/>
        </w:rPr>
        <w:t> </w:t>
      </w:r>
      <w:r>
        <w:rPr>
          <w:color w:val="231F20"/>
          <w:w w:val="105"/>
        </w:rPr>
        <w:t>and</w:t>
      </w:r>
      <w:r>
        <w:rPr>
          <w:color w:val="231F20"/>
          <w:spacing w:val="-12"/>
          <w:w w:val="105"/>
        </w:rPr>
        <w:t> </w:t>
      </w:r>
      <w:r>
        <w:rPr>
          <w:color w:val="231F20"/>
          <w:w w:val="105"/>
        </w:rPr>
        <w:t>actively</w:t>
      </w:r>
      <w:r>
        <w:rPr>
          <w:color w:val="231F20"/>
          <w:spacing w:val="-12"/>
          <w:w w:val="105"/>
        </w:rPr>
        <w:t> </w:t>
      </w:r>
      <w:r>
        <w:rPr>
          <w:color w:val="231F20"/>
          <w:w w:val="105"/>
        </w:rPr>
        <w:t>removes</w:t>
      </w:r>
      <w:r>
        <w:rPr>
          <w:color w:val="231F20"/>
          <w:spacing w:val="-12"/>
          <w:w w:val="105"/>
        </w:rPr>
        <w:t> </w:t>
      </w:r>
      <w:r>
        <w:rPr>
          <w:color w:val="231F20"/>
          <w:w w:val="105"/>
        </w:rPr>
        <w:t>friction where</w:t>
      </w:r>
      <w:r>
        <w:rPr>
          <w:color w:val="231F20"/>
          <w:w w:val="105"/>
        </w:rPr>
        <w:t> simplification</w:t>
      </w:r>
      <w:r>
        <w:rPr>
          <w:color w:val="231F20"/>
          <w:w w:val="105"/>
        </w:rPr>
        <w:t> can</w:t>
      </w:r>
      <w:r>
        <w:rPr>
          <w:color w:val="231F20"/>
          <w:w w:val="105"/>
        </w:rPr>
        <w:t> be</w:t>
      </w:r>
      <w:r>
        <w:rPr>
          <w:color w:val="231F20"/>
          <w:w w:val="105"/>
        </w:rPr>
        <w:t> achieved</w:t>
      </w:r>
      <w:r>
        <w:rPr>
          <w:color w:val="231F20"/>
          <w:w w:val="105"/>
        </w:rPr>
        <w:t> without weakening</w:t>
      </w:r>
      <w:r>
        <w:rPr>
          <w:color w:val="231F20"/>
          <w:spacing w:val="-13"/>
          <w:w w:val="105"/>
        </w:rPr>
        <w:t> </w:t>
      </w:r>
      <w:r>
        <w:rPr>
          <w:color w:val="231F20"/>
          <w:w w:val="105"/>
        </w:rPr>
        <w:t>safeguards.</w:t>
      </w:r>
      <w:r>
        <w:rPr>
          <w:color w:val="231F20"/>
          <w:spacing w:val="-13"/>
          <w:w w:val="105"/>
        </w:rPr>
        <w:t> </w:t>
      </w:r>
      <w:r>
        <w:rPr>
          <w:color w:val="231F20"/>
          <w:w w:val="105"/>
        </w:rPr>
        <w:t>Our</w:t>
      </w:r>
      <w:r>
        <w:rPr>
          <w:color w:val="231F20"/>
          <w:spacing w:val="-13"/>
          <w:w w:val="105"/>
        </w:rPr>
        <w:t> </w:t>
      </w:r>
      <w:r>
        <w:rPr>
          <w:color w:val="231F20"/>
          <w:w w:val="105"/>
        </w:rPr>
        <w:t>work</w:t>
      </w:r>
      <w:r>
        <w:rPr>
          <w:color w:val="231F20"/>
          <w:spacing w:val="-13"/>
          <w:w w:val="105"/>
        </w:rPr>
        <w:t> </w:t>
      </w:r>
      <w:r>
        <w:rPr>
          <w:color w:val="231F20"/>
          <w:w w:val="105"/>
        </w:rPr>
        <w:t>on</w:t>
      </w:r>
      <w:r>
        <w:rPr>
          <w:color w:val="231F20"/>
          <w:spacing w:val="-13"/>
          <w:w w:val="105"/>
        </w:rPr>
        <w:t> </w:t>
      </w:r>
      <w:r>
        <w:rPr>
          <w:color w:val="231F20"/>
          <w:w w:val="105"/>
        </w:rPr>
        <w:t>ease</w:t>
      </w:r>
      <w:r>
        <w:rPr>
          <w:color w:val="231F20"/>
          <w:spacing w:val="-13"/>
          <w:w w:val="105"/>
        </w:rPr>
        <w:t> </w:t>
      </w:r>
      <w:r>
        <w:rPr>
          <w:color w:val="231F20"/>
          <w:w w:val="105"/>
        </w:rPr>
        <w:t>of</w:t>
      </w:r>
      <w:r>
        <w:rPr>
          <w:color w:val="231F20"/>
          <w:spacing w:val="-13"/>
          <w:w w:val="105"/>
        </w:rPr>
        <w:t> </w:t>
      </w:r>
      <w:r>
        <w:rPr>
          <w:color w:val="231F20"/>
          <w:w w:val="105"/>
        </w:rPr>
        <w:t>doing business</w:t>
      </w:r>
      <w:r>
        <w:rPr>
          <w:color w:val="231F20"/>
          <w:w w:val="105"/>
        </w:rPr>
        <w:t> is</w:t>
      </w:r>
      <w:r>
        <w:rPr>
          <w:color w:val="231F20"/>
          <w:w w:val="105"/>
        </w:rPr>
        <w:t> directed</w:t>
      </w:r>
      <w:r>
        <w:rPr>
          <w:color w:val="231F20"/>
          <w:w w:val="105"/>
        </w:rPr>
        <w:t> at</w:t>
      </w:r>
      <w:r>
        <w:rPr>
          <w:color w:val="231F20"/>
          <w:w w:val="105"/>
        </w:rPr>
        <w:t> bridging</w:t>
      </w:r>
      <w:r>
        <w:rPr>
          <w:color w:val="231F20"/>
          <w:w w:val="105"/>
        </w:rPr>
        <w:t> the</w:t>
      </w:r>
      <w:r>
        <w:rPr>
          <w:color w:val="231F20"/>
          <w:w w:val="105"/>
        </w:rPr>
        <w:t> gap</w:t>
      </w:r>
      <w:r>
        <w:rPr>
          <w:color w:val="231F20"/>
          <w:w w:val="105"/>
        </w:rPr>
        <w:t> between </w:t>
      </w:r>
      <w:r>
        <w:rPr>
          <w:color w:val="231F20"/>
          <w:spacing w:val="-2"/>
          <w:w w:val="105"/>
        </w:rPr>
        <w:t>regulatory</w:t>
      </w:r>
      <w:r>
        <w:rPr>
          <w:color w:val="231F20"/>
          <w:spacing w:val="-6"/>
          <w:w w:val="105"/>
        </w:rPr>
        <w:t> </w:t>
      </w:r>
      <w:r>
        <w:rPr>
          <w:color w:val="231F20"/>
          <w:spacing w:val="-2"/>
          <w:w w:val="105"/>
        </w:rPr>
        <w:t>intent</w:t>
      </w:r>
      <w:r>
        <w:rPr>
          <w:color w:val="231F20"/>
          <w:spacing w:val="-6"/>
          <w:w w:val="105"/>
        </w:rPr>
        <w:t> </w:t>
      </w:r>
      <w:r>
        <w:rPr>
          <w:color w:val="231F20"/>
          <w:spacing w:val="-2"/>
          <w:w w:val="105"/>
        </w:rPr>
        <w:t>and</w:t>
      </w:r>
      <w:r>
        <w:rPr>
          <w:color w:val="231F20"/>
          <w:spacing w:val="-6"/>
          <w:w w:val="105"/>
        </w:rPr>
        <w:t> </w:t>
      </w:r>
      <w:r>
        <w:rPr>
          <w:color w:val="231F20"/>
          <w:spacing w:val="-2"/>
          <w:w w:val="105"/>
        </w:rPr>
        <w:t>market</w:t>
      </w:r>
      <w:r>
        <w:rPr>
          <w:color w:val="231F20"/>
          <w:spacing w:val="-6"/>
          <w:w w:val="105"/>
        </w:rPr>
        <w:t> </w:t>
      </w:r>
      <w:r>
        <w:rPr>
          <w:color w:val="231F20"/>
          <w:spacing w:val="-2"/>
          <w:w w:val="105"/>
        </w:rPr>
        <w:t>accessibility,</w:t>
      </w:r>
      <w:r>
        <w:rPr>
          <w:color w:val="231F20"/>
          <w:spacing w:val="-6"/>
          <w:w w:val="105"/>
        </w:rPr>
        <w:t> </w:t>
      </w:r>
      <w:r>
        <w:rPr>
          <w:color w:val="231F20"/>
          <w:spacing w:val="-2"/>
          <w:w w:val="105"/>
        </w:rPr>
        <w:t>ensuring </w:t>
      </w:r>
      <w:r>
        <w:rPr>
          <w:color w:val="231F20"/>
          <w:w w:val="105"/>
        </w:rPr>
        <w:t>the</w:t>
      </w:r>
      <w:r>
        <w:rPr>
          <w:color w:val="231F20"/>
          <w:w w:val="105"/>
        </w:rPr>
        <w:t> Indian</w:t>
      </w:r>
      <w:r>
        <w:rPr>
          <w:color w:val="231F20"/>
          <w:w w:val="105"/>
        </w:rPr>
        <w:t> securities</w:t>
      </w:r>
      <w:r>
        <w:rPr>
          <w:color w:val="231F20"/>
          <w:w w:val="105"/>
        </w:rPr>
        <w:t> market</w:t>
      </w:r>
      <w:r>
        <w:rPr>
          <w:color w:val="231F20"/>
          <w:w w:val="105"/>
        </w:rPr>
        <w:t> ecosystem</w:t>
      </w:r>
      <w:r>
        <w:rPr>
          <w:color w:val="231F20"/>
          <w:w w:val="105"/>
        </w:rPr>
        <w:t> is</w:t>
      </w:r>
      <w:r>
        <w:rPr>
          <w:color w:val="231F20"/>
          <w:w w:val="105"/>
        </w:rPr>
        <w:t> more navigable</w:t>
      </w:r>
      <w:r>
        <w:rPr>
          <w:color w:val="231F20"/>
          <w:spacing w:val="42"/>
          <w:w w:val="105"/>
        </w:rPr>
        <w:t>  </w:t>
      </w:r>
      <w:r>
        <w:rPr>
          <w:color w:val="231F20"/>
          <w:w w:val="105"/>
        </w:rPr>
        <w:t>for</w:t>
      </w:r>
      <w:r>
        <w:rPr>
          <w:color w:val="231F20"/>
          <w:spacing w:val="43"/>
          <w:w w:val="105"/>
        </w:rPr>
        <w:t>  </w:t>
      </w:r>
      <w:r>
        <w:rPr>
          <w:color w:val="231F20"/>
          <w:w w:val="105"/>
        </w:rPr>
        <w:t>intermediaries,</w:t>
      </w:r>
      <w:r>
        <w:rPr>
          <w:color w:val="231F20"/>
          <w:spacing w:val="42"/>
          <w:w w:val="105"/>
        </w:rPr>
        <w:t>  </w:t>
      </w:r>
      <w:r>
        <w:rPr>
          <w:color w:val="231F20"/>
          <w:w w:val="105"/>
        </w:rPr>
        <w:t>transparent</w:t>
      </w:r>
      <w:r>
        <w:rPr>
          <w:color w:val="231F20"/>
          <w:spacing w:val="43"/>
          <w:w w:val="105"/>
        </w:rPr>
        <w:t>  </w:t>
      </w:r>
      <w:r>
        <w:rPr>
          <w:color w:val="231F20"/>
          <w:spacing w:val="-5"/>
          <w:w w:val="105"/>
        </w:rPr>
        <w:t>for</w:t>
      </w:r>
    </w:p>
    <w:p>
      <w:pPr>
        <w:pStyle w:val="BodyText"/>
        <w:spacing w:line="300" w:lineRule="auto" w:before="41"/>
        <w:ind w:right="127"/>
      </w:pPr>
      <w:r>
        <w:rPr/>
        <w:br w:type="column"/>
      </w:r>
      <w:r>
        <w:rPr>
          <w:color w:val="231F20"/>
          <w:w w:val="105"/>
        </w:rPr>
        <w:t>domestic</w:t>
      </w:r>
      <w:r>
        <w:rPr>
          <w:color w:val="231F20"/>
          <w:w w:val="105"/>
        </w:rPr>
        <w:t> participants</w:t>
      </w:r>
      <w:r>
        <w:rPr>
          <w:color w:val="231F20"/>
          <w:w w:val="105"/>
        </w:rPr>
        <w:t> and</w:t>
      </w:r>
      <w:r>
        <w:rPr>
          <w:color w:val="231F20"/>
          <w:w w:val="105"/>
        </w:rPr>
        <w:t> welcoming</w:t>
      </w:r>
      <w:r>
        <w:rPr>
          <w:color w:val="231F20"/>
          <w:w w:val="105"/>
        </w:rPr>
        <w:t> for</w:t>
      </w:r>
      <w:r>
        <w:rPr>
          <w:color w:val="231F20"/>
          <w:w w:val="105"/>
        </w:rPr>
        <w:t> global </w:t>
      </w:r>
      <w:r>
        <w:rPr>
          <w:color w:val="231F20"/>
          <w:spacing w:val="-2"/>
          <w:w w:val="105"/>
        </w:rPr>
        <w:t>capital.</w:t>
      </w:r>
    </w:p>
    <w:p>
      <w:pPr>
        <w:pStyle w:val="BodyText"/>
        <w:spacing w:line="300" w:lineRule="auto" w:before="149"/>
        <w:ind w:right="125"/>
      </w:pPr>
      <w:r>
        <w:rPr>
          <w:color w:val="231F20"/>
        </w:rPr>
        <w:t>To this end, SWAGAT</w:t>
      </w:r>
      <w:r>
        <w:rPr>
          <w:color w:val="231F20"/>
          <w:position w:val="2"/>
        </w:rPr>
        <w:t>-</w:t>
      </w:r>
      <w:r>
        <w:rPr>
          <w:color w:val="231F20"/>
        </w:rPr>
        <w:t>FI framework has introduced a single-window automatic access mechanism for trusted foreign investors, such as sovereign wealth funds,</w:t>
      </w:r>
      <w:r>
        <w:rPr>
          <w:color w:val="231F20"/>
          <w:spacing w:val="-1"/>
        </w:rPr>
        <w:t> </w:t>
      </w:r>
      <w:r>
        <w:rPr>
          <w:color w:val="231F20"/>
        </w:rPr>
        <w:t>while</w:t>
      </w:r>
      <w:r>
        <w:rPr>
          <w:color w:val="231F20"/>
          <w:spacing w:val="-2"/>
        </w:rPr>
        <w:t> </w:t>
      </w:r>
      <w:r>
        <w:rPr>
          <w:color w:val="231F20"/>
        </w:rPr>
        <w:t>the</w:t>
      </w:r>
      <w:r>
        <w:rPr>
          <w:color w:val="231F20"/>
          <w:spacing w:val="-2"/>
        </w:rPr>
        <w:t> </w:t>
      </w:r>
      <w:r>
        <w:rPr>
          <w:color w:val="231F20"/>
        </w:rPr>
        <w:t>India</w:t>
      </w:r>
      <w:r>
        <w:rPr>
          <w:color w:val="231F20"/>
          <w:spacing w:val="-2"/>
        </w:rPr>
        <w:t> </w:t>
      </w:r>
      <w:r>
        <w:rPr>
          <w:color w:val="231F20"/>
        </w:rPr>
        <w:t>Market</w:t>
      </w:r>
      <w:r>
        <w:rPr>
          <w:color w:val="231F20"/>
          <w:spacing w:val="-2"/>
        </w:rPr>
        <w:t> </w:t>
      </w:r>
      <w:r>
        <w:rPr>
          <w:color w:val="231F20"/>
        </w:rPr>
        <w:t>Access</w:t>
      </w:r>
      <w:r>
        <w:rPr>
          <w:color w:val="231F20"/>
          <w:spacing w:val="-1"/>
        </w:rPr>
        <w:t> </w:t>
      </w:r>
      <w:r>
        <w:rPr>
          <w:color w:val="231F20"/>
        </w:rPr>
        <w:t>portal</w:t>
      </w:r>
      <w:r>
        <w:rPr>
          <w:color w:val="231F20"/>
          <w:spacing w:val="-3"/>
        </w:rPr>
        <w:t> </w:t>
      </w:r>
      <w:r>
        <w:rPr>
          <w:color w:val="231F20"/>
        </w:rPr>
        <w:t>provides a consolidated digital gateway for regulatory and taxation information. By streamlining these entry points, we have addressed the long-standing challenge of navigating diverse compliance layers for FPIs. Domestically, the issuance of the common contract</w:t>
      </w:r>
      <w:r>
        <w:rPr>
          <w:color w:val="231F20"/>
          <w:spacing w:val="-9"/>
        </w:rPr>
        <w:t> </w:t>
      </w:r>
      <w:r>
        <w:rPr>
          <w:color w:val="231F20"/>
        </w:rPr>
        <w:t>note</w:t>
      </w:r>
      <w:r>
        <w:rPr>
          <w:color w:val="231F20"/>
          <w:spacing w:val="-9"/>
        </w:rPr>
        <w:t> </w:t>
      </w:r>
      <w:r>
        <w:rPr>
          <w:color w:val="231F20"/>
        </w:rPr>
        <w:t>marks</w:t>
      </w:r>
      <w:r>
        <w:rPr>
          <w:color w:val="231F20"/>
          <w:spacing w:val="-9"/>
        </w:rPr>
        <w:t> </w:t>
      </w:r>
      <w:r>
        <w:rPr>
          <w:color w:val="231F20"/>
        </w:rPr>
        <w:t>a</w:t>
      </w:r>
      <w:r>
        <w:rPr>
          <w:color w:val="231F20"/>
          <w:spacing w:val="-9"/>
        </w:rPr>
        <w:t> </w:t>
      </w:r>
      <w:r>
        <w:rPr>
          <w:color w:val="231F20"/>
        </w:rPr>
        <w:t>significant</w:t>
      </w:r>
      <w:r>
        <w:rPr>
          <w:color w:val="231F20"/>
          <w:spacing w:val="-9"/>
        </w:rPr>
        <w:t> </w:t>
      </w:r>
      <w:r>
        <w:rPr>
          <w:color w:val="231F20"/>
        </w:rPr>
        <w:t>step</w:t>
      </w:r>
      <w:r>
        <w:rPr>
          <w:color w:val="231F20"/>
          <w:spacing w:val="-9"/>
        </w:rPr>
        <w:t> </w:t>
      </w:r>
      <w:r>
        <w:rPr>
          <w:color w:val="231F20"/>
        </w:rPr>
        <w:t>in</w:t>
      </w:r>
      <w:r>
        <w:rPr>
          <w:color w:val="231F20"/>
          <w:spacing w:val="-9"/>
        </w:rPr>
        <w:t> </w:t>
      </w:r>
      <w:r>
        <w:rPr>
          <w:color w:val="231F20"/>
        </w:rPr>
        <w:t>reducing</w:t>
      </w:r>
      <w:r>
        <w:rPr>
          <w:color w:val="231F20"/>
          <w:spacing w:val="-9"/>
        </w:rPr>
        <w:t> </w:t>
      </w:r>
      <w:r>
        <w:rPr>
          <w:color w:val="231F20"/>
        </w:rPr>
        <w:t>the compliance</w:t>
      </w:r>
      <w:r>
        <w:rPr>
          <w:color w:val="231F20"/>
          <w:spacing w:val="-14"/>
        </w:rPr>
        <w:t> </w:t>
      </w:r>
      <w:r>
        <w:rPr>
          <w:color w:val="231F20"/>
        </w:rPr>
        <w:t>burden</w:t>
      </w:r>
      <w:r>
        <w:rPr>
          <w:color w:val="231F20"/>
          <w:spacing w:val="-14"/>
        </w:rPr>
        <w:t> </w:t>
      </w:r>
      <w:r>
        <w:rPr>
          <w:color w:val="231F20"/>
        </w:rPr>
        <w:t>on</w:t>
      </w:r>
      <w:r>
        <w:rPr>
          <w:color w:val="231F20"/>
          <w:spacing w:val="-14"/>
        </w:rPr>
        <w:t> </w:t>
      </w:r>
      <w:r>
        <w:rPr>
          <w:color w:val="231F20"/>
        </w:rPr>
        <w:t>brokers,</w:t>
      </w:r>
      <w:r>
        <w:rPr>
          <w:color w:val="231F20"/>
          <w:spacing w:val="-14"/>
        </w:rPr>
        <w:t> </w:t>
      </w:r>
      <w:r>
        <w:rPr>
          <w:color w:val="231F20"/>
        </w:rPr>
        <w:t>while</w:t>
      </w:r>
      <w:r>
        <w:rPr>
          <w:color w:val="231F20"/>
          <w:spacing w:val="-14"/>
        </w:rPr>
        <w:t> </w:t>
      </w:r>
      <w:r>
        <w:rPr>
          <w:color w:val="231F20"/>
        </w:rPr>
        <w:t>the</w:t>
      </w:r>
      <w:r>
        <w:rPr>
          <w:color w:val="231F20"/>
          <w:spacing w:val="-14"/>
        </w:rPr>
        <w:t> </w:t>
      </w:r>
      <w:r>
        <w:rPr>
          <w:color w:val="231F20"/>
        </w:rPr>
        <w:t>introduction of closing auction session ensures enhanced price discovery in closing prices, minimizing volatility and greater execution certainty during market close.</w:t>
      </w:r>
    </w:p>
    <w:p>
      <w:pPr>
        <w:pStyle w:val="BodyText"/>
        <w:spacing w:line="300" w:lineRule="auto"/>
        <w:ind w:right="126"/>
      </w:pPr>
      <w:r>
        <w:rPr>
          <w:color w:val="231F20"/>
        </w:rPr>
        <w:t>Net settlement of funds for transactions of FPIs in the cash market has been permitted, which will be operationalized soon. This measure will enhance operational efficiency and is expected to reduce the cost of funding for FPIs. The block deal window was revamped</w:t>
      </w:r>
      <w:r>
        <w:rPr>
          <w:color w:val="231F20"/>
          <w:spacing w:val="-6"/>
        </w:rPr>
        <w:t> </w:t>
      </w:r>
      <w:r>
        <w:rPr>
          <w:color w:val="231F20"/>
        </w:rPr>
        <w:t>to</w:t>
      </w:r>
      <w:r>
        <w:rPr>
          <w:color w:val="231F20"/>
          <w:spacing w:val="-6"/>
        </w:rPr>
        <w:t> </w:t>
      </w:r>
      <w:r>
        <w:rPr>
          <w:color w:val="231F20"/>
        </w:rPr>
        <w:t>enhance</w:t>
      </w:r>
      <w:r>
        <w:rPr>
          <w:color w:val="231F20"/>
          <w:spacing w:val="-6"/>
        </w:rPr>
        <w:t> </w:t>
      </w:r>
      <w:r>
        <w:rPr>
          <w:color w:val="231F20"/>
        </w:rPr>
        <w:t>efficiency</w:t>
      </w:r>
      <w:r>
        <w:rPr>
          <w:color w:val="231F20"/>
          <w:spacing w:val="-6"/>
        </w:rPr>
        <w:t> </w:t>
      </w:r>
      <w:r>
        <w:rPr>
          <w:color w:val="231F20"/>
        </w:rPr>
        <w:t>and</w:t>
      </w:r>
      <w:r>
        <w:rPr>
          <w:color w:val="231F20"/>
          <w:spacing w:val="-6"/>
        </w:rPr>
        <w:t> </w:t>
      </w:r>
      <w:r>
        <w:rPr>
          <w:color w:val="231F20"/>
        </w:rPr>
        <w:t>transparency</w:t>
      </w:r>
      <w:r>
        <w:rPr>
          <w:color w:val="231F20"/>
          <w:spacing w:val="-6"/>
        </w:rPr>
        <w:t> </w:t>
      </w:r>
      <w:r>
        <w:rPr>
          <w:color w:val="231F20"/>
        </w:rPr>
        <w:t>in large trades.</w:t>
      </w:r>
    </w:p>
    <w:p>
      <w:pPr>
        <w:pStyle w:val="BodyText"/>
        <w:spacing w:line="300" w:lineRule="auto" w:before="167"/>
        <w:ind w:right="126"/>
      </w:pPr>
      <w:r>
        <w:rPr>
          <w:color w:val="231F20"/>
        </w:rPr>
        <w:t>Perhaps the most significant structural reform of the year</w:t>
      </w:r>
      <w:r>
        <w:rPr>
          <w:color w:val="231F20"/>
          <w:spacing w:val="-16"/>
        </w:rPr>
        <w:t> </w:t>
      </w:r>
      <w:r>
        <w:rPr>
          <w:color w:val="231F20"/>
        </w:rPr>
        <w:t>was</w:t>
      </w:r>
      <w:r>
        <w:rPr>
          <w:color w:val="231F20"/>
          <w:spacing w:val="-15"/>
        </w:rPr>
        <w:t> </w:t>
      </w:r>
      <w:r>
        <w:rPr>
          <w:color w:val="231F20"/>
        </w:rPr>
        <w:t>the</w:t>
      </w:r>
      <w:r>
        <w:rPr>
          <w:color w:val="231F20"/>
          <w:spacing w:val="-15"/>
        </w:rPr>
        <w:t> </w:t>
      </w:r>
      <w:r>
        <w:rPr>
          <w:color w:val="231F20"/>
        </w:rPr>
        <w:t>comprehensive</w:t>
      </w:r>
      <w:r>
        <w:rPr>
          <w:color w:val="231F20"/>
          <w:spacing w:val="-16"/>
        </w:rPr>
        <w:t> </w:t>
      </w:r>
      <w:r>
        <w:rPr>
          <w:color w:val="231F20"/>
        </w:rPr>
        <w:t>modernization</w:t>
      </w:r>
      <w:r>
        <w:rPr>
          <w:color w:val="231F20"/>
          <w:spacing w:val="-15"/>
        </w:rPr>
        <w:t> </w:t>
      </w:r>
      <w:r>
        <w:rPr>
          <w:color w:val="231F20"/>
        </w:rPr>
        <w:t>of</w:t>
      </w:r>
      <w:r>
        <w:rPr>
          <w:color w:val="231F20"/>
          <w:spacing w:val="-15"/>
        </w:rPr>
        <w:t> </w:t>
      </w:r>
      <w:r>
        <w:rPr>
          <w:color w:val="231F20"/>
        </w:rPr>
        <w:t>legacy rulebooks. We comprehensively reviewed decades old regulations </w:t>
      </w:r>
      <w:r>
        <w:rPr>
          <w:color w:val="231F20"/>
          <w:w w:val="115"/>
        </w:rPr>
        <w:t>-</w:t>
      </w:r>
      <w:r>
        <w:rPr>
          <w:color w:val="231F20"/>
          <w:w w:val="115"/>
        </w:rPr>
        <w:t> </w:t>
      </w:r>
      <w:r>
        <w:rPr>
          <w:color w:val="231F20"/>
        </w:rPr>
        <w:t>stock brokers regulations, RTA regulations, and the mutual fund regulations. And made these regulations more relevant, simple and streamlined. The new mutual fund regulations have simplified the expense ratio framework, rationalized brokerage limits and compliance requirements </w:t>
      </w:r>
      <w:r>
        <w:rPr>
          <w:color w:val="231F20"/>
          <w:w w:val="115"/>
        </w:rPr>
        <w:t>- </w:t>
      </w:r>
      <w:r>
        <w:rPr>
          <w:color w:val="231F20"/>
        </w:rPr>
        <w:t>ensuring that the interests of the unit-holder always remain paramount.</w:t>
      </w:r>
    </w:p>
    <w:p>
      <w:pPr>
        <w:pStyle w:val="BodyText"/>
        <w:spacing w:line="300" w:lineRule="auto" w:before="164"/>
        <w:ind w:right="126"/>
      </w:pPr>
      <w:r>
        <w:rPr>
          <w:color w:val="231F20"/>
        </w:rPr>
        <w:t>The</w:t>
      </w:r>
      <w:r>
        <w:rPr>
          <w:color w:val="231F20"/>
          <w:spacing w:val="40"/>
        </w:rPr>
        <w:t> </w:t>
      </w:r>
      <w:r>
        <w:rPr>
          <w:color w:val="231F20"/>
        </w:rPr>
        <w:t>penalty</w:t>
      </w:r>
      <w:r>
        <w:rPr>
          <w:color w:val="231F20"/>
          <w:spacing w:val="40"/>
        </w:rPr>
        <w:t> </w:t>
      </w:r>
      <w:r>
        <w:rPr>
          <w:color w:val="231F20"/>
        </w:rPr>
        <w:t>structure</w:t>
      </w:r>
      <w:r>
        <w:rPr>
          <w:color w:val="231F20"/>
          <w:spacing w:val="40"/>
        </w:rPr>
        <w:t> </w:t>
      </w:r>
      <w:r>
        <w:rPr>
          <w:color w:val="231F20"/>
        </w:rPr>
        <w:t>applicable</w:t>
      </w:r>
      <w:r>
        <w:rPr>
          <w:color w:val="231F20"/>
          <w:spacing w:val="40"/>
        </w:rPr>
        <w:t> </w:t>
      </w:r>
      <w:r>
        <w:rPr>
          <w:color w:val="231F20"/>
        </w:rPr>
        <w:t>to</w:t>
      </w:r>
      <w:r>
        <w:rPr>
          <w:color w:val="231F20"/>
          <w:spacing w:val="40"/>
        </w:rPr>
        <w:t> </w:t>
      </w:r>
      <w:r>
        <w:rPr>
          <w:color w:val="231F20"/>
        </w:rPr>
        <w:t>brokers</w:t>
      </w:r>
      <w:r>
        <w:rPr>
          <w:color w:val="231F20"/>
          <w:spacing w:val="40"/>
        </w:rPr>
        <w:t> </w:t>
      </w:r>
      <w:r>
        <w:rPr>
          <w:color w:val="231F20"/>
        </w:rPr>
        <w:t>by stock exchanges was rationalized, with a focus on avoiding duplication and ensuring that regulatory consequences</w:t>
      </w:r>
      <w:r>
        <w:rPr>
          <w:color w:val="231F20"/>
          <w:spacing w:val="-9"/>
        </w:rPr>
        <w:t> </w:t>
      </w:r>
      <w:r>
        <w:rPr>
          <w:color w:val="231F20"/>
        </w:rPr>
        <w:t>remain</w:t>
      </w:r>
      <w:r>
        <w:rPr>
          <w:color w:val="231F20"/>
          <w:spacing w:val="-8"/>
        </w:rPr>
        <w:t> </w:t>
      </w:r>
      <w:r>
        <w:rPr>
          <w:color w:val="231F20"/>
        </w:rPr>
        <w:t>proportionate</w:t>
      </w:r>
      <w:r>
        <w:rPr>
          <w:color w:val="231F20"/>
          <w:spacing w:val="-8"/>
        </w:rPr>
        <w:t> </w:t>
      </w:r>
      <w:r>
        <w:rPr>
          <w:color w:val="231F20"/>
        </w:rPr>
        <w:t>and</w:t>
      </w:r>
      <w:r>
        <w:rPr>
          <w:color w:val="231F20"/>
          <w:spacing w:val="-8"/>
        </w:rPr>
        <w:t> </w:t>
      </w:r>
      <w:r>
        <w:rPr>
          <w:color w:val="231F20"/>
          <w:spacing w:val="-2"/>
        </w:rPr>
        <w:t>purposeful.</w:t>
      </w:r>
    </w:p>
    <w:p>
      <w:pPr>
        <w:pStyle w:val="BodyText"/>
        <w:spacing w:before="168"/>
        <w:ind w:right="0"/>
      </w:pPr>
      <w:r>
        <w:rPr>
          <w:color w:val="231F20"/>
        </w:rPr>
        <w:t>Preserving</w:t>
      </w:r>
      <w:r>
        <w:rPr>
          <w:color w:val="231F20"/>
          <w:spacing w:val="7"/>
        </w:rPr>
        <w:t> </w:t>
      </w:r>
      <w:r>
        <w:rPr>
          <w:color w:val="231F20"/>
        </w:rPr>
        <w:t>Market</w:t>
      </w:r>
      <w:r>
        <w:rPr>
          <w:color w:val="231F20"/>
          <w:spacing w:val="8"/>
        </w:rPr>
        <w:t> </w:t>
      </w:r>
      <w:r>
        <w:rPr>
          <w:color w:val="231F20"/>
          <w:spacing w:val="-2"/>
        </w:rPr>
        <w:t>Integrity</w:t>
      </w:r>
    </w:p>
    <w:p>
      <w:pPr>
        <w:pStyle w:val="BodyText"/>
        <w:spacing w:line="300" w:lineRule="auto" w:before="233"/>
        <w:ind w:right="126"/>
      </w:pPr>
      <w:r>
        <w:rPr>
          <w:color w:val="231F20"/>
        </w:rPr>
        <w:t>Market integrity continues to be treated as non-negotiable. A market may be large, liquid and technologically</w:t>
      </w:r>
      <w:r>
        <w:rPr>
          <w:color w:val="231F20"/>
          <w:spacing w:val="26"/>
        </w:rPr>
        <w:t> </w:t>
      </w:r>
      <w:r>
        <w:rPr>
          <w:color w:val="231F20"/>
        </w:rPr>
        <w:t>advanced,</w:t>
      </w:r>
      <w:r>
        <w:rPr>
          <w:color w:val="231F20"/>
          <w:spacing w:val="26"/>
        </w:rPr>
        <w:t> </w:t>
      </w:r>
      <w:r>
        <w:rPr>
          <w:color w:val="231F20"/>
        </w:rPr>
        <w:t>but</w:t>
      </w:r>
      <w:r>
        <w:rPr>
          <w:color w:val="231F20"/>
          <w:spacing w:val="27"/>
        </w:rPr>
        <w:t> </w:t>
      </w:r>
      <w:r>
        <w:rPr>
          <w:color w:val="231F20"/>
        </w:rPr>
        <w:t>it</w:t>
      </w:r>
      <w:r>
        <w:rPr>
          <w:color w:val="231F20"/>
          <w:spacing w:val="26"/>
        </w:rPr>
        <w:t> </w:t>
      </w:r>
      <w:r>
        <w:rPr>
          <w:color w:val="231F20"/>
        </w:rPr>
        <w:t>can</w:t>
      </w:r>
      <w:r>
        <w:rPr>
          <w:color w:val="231F20"/>
          <w:spacing w:val="26"/>
        </w:rPr>
        <w:t> </w:t>
      </w:r>
      <w:r>
        <w:rPr>
          <w:color w:val="231F20"/>
        </w:rPr>
        <w:t>remain</w:t>
      </w:r>
      <w:r>
        <w:rPr>
          <w:color w:val="231F20"/>
          <w:spacing w:val="27"/>
        </w:rPr>
        <w:t> </w:t>
      </w:r>
      <w:r>
        <w:rPr>
          <w:color w:val="231F20"/>
          <w:spacing w:val="-2"/>
        </w:rPr>
        <w:t>strong</w:t>
      </w:r>
    </w:p>
    <w:p>
      <w:pPr>
        <w:pStyle w:val="BodyText"/>
        <w:spacing w:after="0" w:line="300" w:lineRule="auto"/>
        <w:sectPr>
          <w:pgSz w:w="12240" w:h="15840"/>
          <w:pgMar w:top="780" w:bottom="280" w:left="720" w:right="720"/>
          <w:cols w:num="2" w:equalWidth="0">
            <w:col w:w="5273" w:space="166"/>
            <w:col w:w="5361"/>
          </w:cols>
        </w:sectPr>
      </w:pPr>
    </w:p>
    <w:p>
      <w:pPr>
        <w:pStyle w:val="BodyText"/>
        <w:spacing w:line="307" w:lineRule="auto" w:before="38"/>
      </w:pPr>
      <w:r>
        <w:rPr/>
        <mc:AlternateContent>
          <mc:Choice Requires="wps">
            <w:drawing>
              <wp:anchor distT="0" distB="0" distL="0" distR="0" allowOverlap="1" layoutInCell="1" locked="0" behindDoc="1" simplePos="0" relativeHeight="487534080">
                <wp:simplePos x="0" y="0"/>
                <wp:positionH relativeFrom="page">
                  <wp:posOffset>0</wp:posOffset>
                </wp:positionH>
                <wp:positionV relativeFrom="page">
                  <wp:posOffset>0</wp:posOffset>
                </wp:positionV>
                <wp:extent cx="7772400" cy="100584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AF2EE"/>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5782400" id="docshape8" filled="true" fillcolor="#faf2ee" stroked="false">
                <v:fill type="solid"/>
                <w10:wrap type="none"/>
              </v:rect>
            </w:pict>
          </mc:Fallback>
        </mc:AlternateContent>
      </w:r>
      <w:r>
        <w:rPr>
          <w:color w:val="231F20"/>
        </w:rPr>
        <w:t>only if investors trust that it functions fairly. SEBI, therefore, has continued to act against market abuse, including manipulation in the securities and derivatives markets, pump-and-dump schemes, insider trading, front-running, and corporate frauds. The message is clear: innovation, liquidity and participation are welcome, but they must operate within the boundaries of fair conduct, transparent disclosure and accountability.</w:t>
      </w:r>
    </w:p>
    <w:p>
      <w:pPr>
        <w:pStyle w:val="BodyText"/>
        <w:spacing w:line="307" w:lineRule="auto" w:before="169"/>
      </w:pPr>
      <w:r>
        <w:rPr>
          <w:color w:val="231F20"/>
        </w:rPr>
        <w:t>SEBI undertook calibrated measures to make derivatives</w:t>
      </w:r>
      <w:r>
        <w:rPr>
          <w:color w:val="231F20"/>
          <w:spacing w:val="40"/>
        </w:rPr>
        <w:t> </w:t>
      </w:r>
      <w:r>
        <w:rPr>
          <w:color w:val="231F20"/>
        </w:rPr>
        <w:t>markets</w:t>
      </w:r>
      <w:r>
        <w:rPr>
          <w:color w:val="231F20"/>
          <w:spacing w:val="40"/>
        </w:rPr>
        <w:t> </w:t>
      </w:r>
      <w:r>
        <w:rPr>
          <w:color w:val="231F20"/>
        </w:rPr>
        <w:t>more</w:t>
      </w:r>
      <w:r>
        <w:rPr>
          <w:color w:val="231F20"/>
          <w:spacing w:val="40"/>
        </w:rPr>
        <w:t> </w:t>
      </w:r>
      <w:r>
        <w:rPr>
          <w:color w:val="231F20"/>
        </w:rPr>
        <w:t>orderly,</w:t>
      </w:r>
      <w:r>
        <w:rPr>
          <w:color w:val="231F20"/>
          <w:spacing w:val="40"/>
        </w:rPr>
        <w:t> </w:t>
      </w:r>
      <w:r>
        <w:rPr>
          <w:color w:val="231F20"/>
        </w:rPr>
        <w:t>resilient</w:t>
      </w:r>
      <w:r>
        <w:rPr>
          <w:color w:val="231F20"/>
          <w:spacing w:val="40"/>
        </w:rPr>
        <w:t> </w:t>
      </w:r>
      <w:r>
        <w:rPr>
          <w:color w:val="231F20"/>
        </w:rPr>
        <w:t>and risk-aware, particularly by reducing expiry-day concentration, rationalizing weekly index options, and strengthening intraday position-limit monitoring. These initiatives seek to preserve the useful role of derivatives in hedging, liquidity and price discovery, while ensuring that market activity remains within prudent</w:t>
      </w:r>
      <w:r>
        <w:rPr>
          <w:color w:val="231F20"/>
          <w:spacing w:val="-6"/>
        </w:rPr>
        <w:t> </w:t>
      </w:r>
      <w:r>
        <w:rPr>
          <w:color w:val="231F20"/>
        </w:rPr>
        <w:t>guardrails</w:t>
      </w:r>
      <w:r>
        <w:rPr>
          <w:color w:val="231F20"/>
          <w:spacing w:val="-6"/>
        </w:rPr>
        <w:t> </w:t>
      </w:r>
      <w:r>
        <w:rPr>
          <w:color w:val="231F20"/>
        </w:rPr>
        <w:t>and</w:t>
      </w:r>
      <w:r>
        <w:rPr>
          <w:color w:val="231F20"/>
          <w:spacing w:val="-6"/>
        </w:rPr>
        <w:t> </w:t>
      </w:r>
      <w:r>
        <w:rPr>
          <w:color w:val="231F20"/>
        </w:rPr>
        <w:t>does</w:t>
      </w:r>
      <w:r>
        <w:rPr>
          <w:color w:val="231F20"/>
          <w:spacing w:val="-6"/>
        </w:rPr>
        <w:t> </w:t>
      </w:r>
      <w:r>
        <w:rPr>
          <w:color w:val="231F20"/>
        </w:rPr>
        <w:t>not</w:t>
      </w:r>
      <w:r>
        <w:rPr>
          <w:color w:val="231F20"/>
          <w:spacing w:val="-6"/>
        </w:rPr>
        <w:t> </w:t>
      </w:r>
      <w:r>
        <w:rPr>
          <w:color w:val="231F20"/>
        </w:rPr>
        <w:t>compromise</w:t>
      </w:r>
      <w:r>
        <w:rPr>
          <w:color w:val="231F20"/>
          <w:spacing w:val="-6"/>
        </w:rPr>
        <w:t> </w:t>
      </w:r>
      <w:r>
        <w:rPr>
          <w:color w:val="231F20"/>
        </w:rPr>
        <w:t>market stability</w:t>
      </w:r>
      <w:r>
        <w:rPr>
          <w:color w:val="231F20"/>
          <w:spacing w:val="40"/>
        </w:rPr>
        <w:t> </w:t>
      </w:r>
      <w:r>
        <w:rPr>
          <w:color w:val="231F20"/>
        </w:rPr>
        <w:t>or</w:t>
      </w:r>
      <w:r>
        <w:rPr>
          <w:color w:val="231F20"/>
          <w:spacing w:val="40"/>
        </w:rPr>
        <w:t> </w:t>
      </w:r>
      <w:r>
        <w:rPr>
          <w:color w:val="231F20"/>
        </w:rPr>
        <w:t>integrity.</w:t>
      </w:r>
      <w:r>
        <w:rPr>
          <w:color w:val="231F20"/>
          <w:spacing w:val="40"/>
        </w:rPr>
        <w:t> </w:t>
      </w:r>
      <w:r>
        <w:rPr>
          <w:color w:val="231F20"/>
        </w:rPr>
        <w:t>The</w:t>
      </w:r>
      <w:r>
        <w:rPr>
          <w:color w:val="231F20"/>
          <w:spacing w:val="40"/>
        </w:rPr>
        <w:t> </w:t>
      </w:r>
      <w:r>
        <w:rPr>
          <w:color w:val="231F20"/>
        </w:rPr>
        <w:t>governance</w:t>
      </w:r>
      <w:r>
        <w:rPr>
          <w:color w:val="231F20"/>
          <w:spacing w:val="40"/>
        </w:rPr>
        <w:t> </w:t>
      </w:r>
      <w:r>
        <w:rPr>
          <w:color w:val="231F20"/>
        </w:rPr>
        <w:t>framework</w:t>
      </w:r>
      <w:r>
        <w:rPr>
          <w:color w:val="231F20"/>
          <w:spacing w:val="80"/>
        </w:rPr>
        <w:t> </w:t>
      </w:r>
      <w:r>
        <w:rPr>
          <w:color w:val="231F20"/>
        </w:rPr>
        <w:t>of MIIs was strengthened to ensure public interest always comes first.</w:t>
      </w:r>
    </w:p>
    <w:p>
      <w:pPr>
        <w:pStyle w:val="BodyText"/>
        <w:spacing w:before="167"/>
        <w:ind w:right="0"/>
      </w:pPr>
      <w:r>
        <w:rPr>
          <w:color w:val="231F20"/>
          <w:w w:val="105"/>
        </w:rPr>
        <w:t>Internal</w:t>
      </w:r>
      <w:r>
        <w:rPr>
          <w:color w:val="231F20"/>
          <w:spacing w:val="-12"/>
          <w:w w:val="105"/>
        </w:rPr>
        <w:t> </w:t>
      </w:r>
      <w:r>
        <w:rPr>
          <w:color w:val="231F20"/>
          <w:spacing w:val="-2"/>
          <w:w w:val="105"/>
        </w:rPr>
        <w:t>Reforms</w:t>
      </w:r>
    </w:p>
    <w:p>
      <w:pPr>
        <w:pStyle w:val="BodyText"/>
        <w:spacing w:line="307" w:lineRule="auto" w:before="241"/>
      </w:pPr>
      <w:r>
        <w:rPr>
          <w:color w:val="231F20"/>
        </w:rPr>
        <w:t>We have also taken steps to further strengthen </w:t>
      </w:r>
      <w:r>
        <w:rPr>
          <w:color w:val="231F20"/>
          <w:spacing w:val="-2"/>
        </w:rPr>
        <w:t>internal</w:t>
      </w:r>
      <w:r>
        <w:rPr>
          <w:color w:val="231F20"/>
          <w:spacing w:val="-14"/>
        </w:rPr>
        <w:t> </w:t>
      </w:r>
      <w:r>
        <w:rPr>
          <w:color w:val="231F20"/>
          <w:spacing w:val="-2"/>
        </w:rPr>
        <w:t>governance</w:t>
      </w:r>
      <w:r>
        <w:rPr>
          <w:color w:val="231F20"/>
          <w:spacing w:val="-13"/>
        </w:rPr>
        <w:t> </w:t>
      </w:r>
      <w:r>
        <w:rPr>
          <w:color w:val="231F20"/>
          <w:spacing w:val="-2"/>
        </w:rPr>
        <w:t>at</w:t>
      </w:r>
      <w:r>
        <w:rPr>
          <w:color w:val="231F20"/>
          <w:spacing w:val="-13"/>
        </w:rPr>
        <w:t> </w:t>
      </w:r>
      <w:r>
        <w:rPr>
          <w:color w:val="231F20"/>
          <w:spacing w:val="-2"/>
        </w:rPr>
        <w:t>SEBI.</w:t>
      </w:r>
      <w:r>
        <w:rPr>
          <w:color w:val="231F20"/>
          <w:spacing w:val="-14"/>
        </w:rPr>
        <w:t> </w:t>
      </w:r>
      <w:r>
        <w:rPr>
          <w:color w:val="231F20"/>
          <w:spacing w:val="-2"/>
        </w:rPr>
        <w:t>A</w:t>
      </w:r>
      <w:r>
        <w:rPr>
          <w:color w:val="231F20"/>
          <w:spacing w:val="-13"/>
        </w:rPr>
        <w:t> </w:t>
      </w:r>
      <w:r>
        <w:rPr>
          <w:color w:val="231F20"/>
          <w:spacing w:val="-2"/>
        </w:rPr>
        <w:t>High-Level</w:t>
      </w:r>
      <w:r>
        <w:rPr>
          <w:color w:val="231F20"/>
          <w:spacing w:val="-13"/>
        </w:rPr>
        <w:t> </w:t>
      </w:r>
      <w:r>
        <w:rPr>
          <w:color w:val="231F20"/>
          <w:spacing w:val="-2"/>
        </w:rPr>
        <w:t>Committee </w:t>
      </w:r>
      <w:r>
        <w:rPr>
          <w:color w:val="231F20"/>
        </w:rPr>
        <w:t>reviewed our framework on conflict of interest and disclosures, and it has been decided to implement several of its recommendations.</w:t>
      </w:r>
    </w:p>
    <w:p>
      <w:pPr>
        <w:pStyle w:val="BodyText"/>
        <w:spacing w:line="307" w:lineRule="auto" w:before="169"/>
      </w:pPr>
      <w:r>
        <w:rPr>
          <w:color w:val="231F20"/>
        </w:rPr>
        <w:t>SEBI moved forward with eOffice to digitize internal </w:t>
      </w:r>
      <w:r>
        <w:rPr>
          <w:color w:val="231F20"/>
          <w:w w:val="105"/>
        </w:rPr>
        <w:t>workflows.</w:t>
      </w:r>
      <w:r>
        <w:rPr>
          <w:color w:val="231F20"/>
          <w:w w:val="105"/>
        </w:rPr>
        <w:t> This</w:t>
      </w:r>
      <w:r>
        <w:rPr>
          <w:color w:val="231F20"/>
          <w:w w:val="105"/>
        </w:rPr>
        <w:t> has</w:t>
      </w:r>
      <w:r>
        <w:rPr>
          <w:color w:val="231F20"/>
          <w:w w:val="105"/>
        </w:rPr>
        <w:t> reduced</w:t>
      </w:r>
      <w:r>
        <w:rPr>
          <w:color w:val="231F20"/>
          <w:w w:val="105"/>
        </w:rPr>
        <w:t> reliance</w:t>
      </w:r>
      <w:r>
        <w:rPr>
          <w:color w:val="231F20"/>
          <w:w w:val="105"/>
        </w:rPr>
        <w:t> on</w:t>
      </w:r>
      <w:r>
        <w:rPr>
          <w:color w:val="231F20"/>
          <w:w w:val="105"/>
        </w:rPr>
        <w:t> physical files,</w:t>
      </w:r>
      <w:r>
        <w:rPr>
          <w:color w:val="231F20"/>
          <w:w w:val="105"/>
        </w:rPr>
        <w:t> improved</w:t>
      </w:r>
      <w:r>
        <w:rPr>
          <w:color w:val="231F20"/>
          <w:w w:val="105"/>
        </w:rPr>
        <w:t> traceability</w:t>
      </w:r>
      <w:r>
        <w:rPr>
          <w:color w:val="231F20"/>
          <w:w w:val="105"/>
        </w:rPr>
        <w:t> and</w:t>
      </w:r>
      <w:r>
        <w:rPr>
          <w:color w:val="231F20"/>
          <w:w w:val="105"/>
        </w:rPr>
        <w:t> enabled</w:t>
      </w:r>
      <w:r>
        <w:rPr>
          <w:color w:val="231F20"/>
          <w:w w:val="105"/>
        </w:rPr>
        <w:t> closer monitoring of pending matters.</w:t>
      </w:r>
    </w:p>
    <w:p>
      <w:pPr>
        <w:pStyle w:val="BodyText"/>
        <w:spacing w:line="307" w:lineRule="auto" w:before="170"/>
      </w:pPr>
      <w:r>
        <w:rPr>
          <w:color w:val="231F20"/>
        </w:rPr>
        <w:t>Capacity building remains central to the effectiveness of SEBI in navigating an increasingly complex and dynamic securities market. SEBI has placed a renewed strategic focus on strengthening the capabilities of its workforce.</w:t>
      </w:r>
    </w:p>
    <w:p>
      <w:pPr>
        <w:pStyle w:val="BodyText"/>
        <w:spacing w:line="307" w:lineRule="auto" w:before="169"/>
      </w:pPr>
      <w:r>
        <w:rPr>
          <w:color w:val="231F20"/>
        </w:rPr>
        <w:t>Apart from exposure to specialised training in emerging areas such as technology, data analytics and</w:t>
      </w:r>
      <w:r>
        <w:rPr>
          <w:color w:val="231F20"/>
          <w:spacing w:val="-14"/>
        </w:rPr>
        <w:t> </w:t>
      </w:r>
      <w:r>
        <w:rPr>
          <w:color w:val="231F20"/>
        </w:rPr>
        <w:t>surveillance,</w:t>
      </w:r>
      <w:r>
        <w:rPr>
          <w:color w:val="231F20"/>
          <w:spacing w:val="-14"/>
        </w:rPr>
        <w:t> </w:t>
      </w:r>
      <w:r>
        <w:rPr>
          <w:color w:val="231F20"/>
        </w:rPr>
        <w:t>SEBI</w:t>
      </w:r>
      <w:r>
        <w:rPr>
          <w:color w:val="231F20"/>
          <w:spacing w:val="-14"/>
        </w:rPr>
        <w:t> </w:t>
      </w:r>
      <w:r>
        <w:rPr>
          <w:color w:val="231F20"/>
        </w:rPr>
        <w:t>officials</w:t>
      </w:r>
      <w:r>
        <w:rPr>
          <w:color w:val="231F20"/>
          <w:spacing w:val="-14"/>
        </w:rPr>
        <w:t> </w:t>
      </w:r>
      <w:r>
        <w:rPr>
          <w:color w:val="231F20"/>
        </w:rPr>
        <w:t>are</w:t>
      </w:r>
      <w:r>
        <w:rPr>
          <w:color w:val="231F20"/>
          <w:spacing w:val="-14"/>
        </w:rPr>
        <w:t> </w:t>
      </w:r>
      <w:r>
        <w:rPr>
          <w:color w:val="231F20"/>
        </w:rPr>
        <w:t>actively</w:t>
      </w:r>
      <w:r>
        <w:rPr>
          <w:color w:val="231F20"/>
          <w:spacing w:val="-14"/>
        </w:rPr>
        <w:t> </w:t>
      </w:r>
      <w:r>
        <w:rPr>
          <w:color w:val="231F20"/>
        </w:rPr>
        <w:t>engaging with peer regulators and international bodies to get exposure</w:t>
      </w:r>
      <w:r>
        <w:rPr>
          <w:color w:val="231F20"/>
          <w:spacing w:val="59"/>
        </w:rPr>
        <w:t> </w:t>
      </w:r>
      <w:r>
        <w:rPr>
          <w:color w:val="231F20"/>
        </w:rPr>
        <w:t>to</w:t>
      </w:r>
      <w:r>
        <w:rPr>
          <w:color w:val="231F20"/>
          <w:spacing w:val="60"/>
        </w:rPr>
        <w:t> </w:t>
      </w:r>
      <w:r>
        <w:rPr>
          <w:color w:val="231F20"/>
        </w:rPr>
        <w:t>global</w:t>
      </w:r>
      <w:r>
        <w:rPr>
          <w:color w:val="231F20"/>
          <w:spacing w:val="60"/>
        </w:rPr>
        <w:t> </w:t>
      </w:r>
      <w:r>
        <w:rPr>
          <w:color w:val="231F20"/>
        </w:rPr>
        <w:t>best</w:t>
      </w:r>
      <w:r>
        <w:rPr>
          <w:color w:val="231F20"/>
          <w:spacing w:val="60"/>
        </w:rPr>
        <w:t> </w:t>
      </w:r>
      <w:r>
        <w:rPr>
          <w:color w:val="231F20"/>
        </w:rPr>
        <w:t>practices</w:t>
      </w:r>
      <w:r>
        <w:rPr>
          <w:color w:val="231F20"/>
          <w:spacing w:val="59"/>
        </w:rPr>
        <w:t> </w:t>
      </w:r>
      <w:r>
        <w:rPr>
          <w:color w:val="231F20"/>
        </w:rPr>
        <w:t>and</w:t>
      </w:r>
      <w:r>
        <w:rPr>
          <w:color w:val="231F20"/>
          <w:spacing w:val="60"/>
        </w:rPr>
        <w:t> </w:t>
      </w:r>
      <w:r>
        <w:rPr>
          <w:color w:val="231F20"/>
        </w:rPr>
        <w:t>share</w:t>
      </w:r>
      <w:r>
        <w:rPr>
          <w:color w:val="231F20"/>
          <w:spacing w:val="60"/>
        </w:rPr>
        <w:t> </w:t>
      </w:r>
      <w:r>
        <w:rPr>
          <w:color w:val="231F20"/>
          <w:spacing w:val="-5"/>
        </w:rPr>
        <w:t>our</w:t>
      </w:r>
    </w:p>
    <w:p>
      <w:pPr>
        <w:pStyle w:val="BodyText"/>
        <w:spacing w:line="302" w:lineRule="auto" w:before="39"/>
        <w:ind w:right="126"/>
      </w:pPr>
      <w:r>
        <w:rPr/>
        <w:br w:type="column"/>
      </w:r>
      <w:r>
        <w:rPr>
          <w:color w:val="231F20"/>
        </w:rPr>
        <w:t>experiences in areas such as SupTech, technology-enabled supervision and market development.</w:t>
      </w:r>
    </w:p>
    <w:p>
      <w:pPr>
        <w:pStyle w:val="BodyText"/>
        <w:spacing w:line="302" w:lineRule="auto" w:before="171"/>
        <w:ind w:right="125"/>
      </w:pPr>
      <w:r>
        <w:rPr>
          <w:color w:val="231F20"/>
        </w:rPr>
        <w:t>SEBI has decided to expand its reach through the opening of local offices. This will enhance SEBI’s connect with investors at a local level, apart from improving its ability to monitor unregulated activities and gather market intelligence.</w:t>
      </w:r>
    </w:p>
    <w:p>
      <w:pPr>
        <w:pStyle w:val="BodyText"/>
        <w:spacing w:line="302" w:lineRule="auto" w:before="174"/>
        <w:ind w:right="126"/>
      </w:pPr>
      <w:r>
        <w:rPr>
          <w:color w:val="231F20"/>
        </w:rPr>
        <w:t>SEBI is harnessing technology to strengthen market oversight</w:t>
      </w:r>
      <w:r>
        <w:rPr>
          <w:color w:val="231F20"/>
          <w:spacing w:val="-11"/>
        </w:rPr>
        <w:t> </w:t>
      </w:r>
      <w:r>
        <w:rPr>
          <w:color w:val="231F20"/>
        </w:rPr>
        <w:t>and</w:t>
      </w:r>
      <w:r>
        <w:rPr>
          <w:color w:val="231F20"/>
          <w:spacing w:val="-11"/>
        </w:rPr>
        <w:t> </w:t>
      </w:r>
      <w:r>
        <w:rPr>
          <w:color w:val="231F20"/>
        </w:rPr>
        <w:t>uses</w:t>
      </w:r>
      <w:r>
        <w:rPr>
          <w:color w:val="231F20"/>
          <w:spacing w:val="-10"/>
        </w:rPr>
        <w:t> </w:t>
      </w:r>
      <w:r>
        <w:rPr>
          <w:color w:val="231F20"/>
        </w:rPr>
        <w:t>advance</w:t>
      </w:r>
      <w:r>
        <w:rPr>
          <w:color w:val="231F20"/>
          <w:spacing w:val="-11"/>
        </w:rPr>
        <w:t> </w:t>
      </w:r>
      <w:r>
        <w:rPr>
          <w:color w:val="231F20"/>
        </w:rPr>
        <w:t>analytics,</w:t>
      </w:r>
      <w:r>
        <w:rPr>
          <w:color w:val="231F20"/>
          <w:spacing w:val="-10"/>
        </w:rPr>
        <w:t> </w:t>
      </w:r>
      <w:r>
        <w:rPr>
          <w:color w:val="231F20"/>
        </w:rPr>
        <w:t>AI/ML</w:t>
      </w:r>
      <w:r>
        <w:rPr>
          <w:color w:val="231F20"/>
          <w:spacing w:val="-11"/>
        </w:rPr>
        <w:t> </w:t>
      </w:r>
      <w:r>
        <w:rPr>
          <w:color w:val="231F20"/>
        </w:rPr>
        <w:t>models to</w:t>
      </w:r>
      <w:r>
        <w:rPr>
          <w:color w:val="231F20"/>
          <w:spacing w:val="40"/>
        </w:rPr>
        <w:t> </w:t>
      </w:r>
      <w:r>
        <w:rPr>
          <w:color w:val="231F20"/>
        </w:rPr>
        <w:t>detect</w:t>
      </w:r>
      <w:r>
        <w:rPr>
          <w:color w:val="231F20"/>
          <w:spacing w:val="40"/>
        </w:rPr>
        <w:t> </w:t>
      </w:r>
      <w:r>
        <w:rPr>
          <w:color w:val="231F20"/>
        </w:rPr>
        <w:t>complex</w:t>
      </w:r>
      <w:r>
        <w:rPr>
          <w:color w:val="231F20"/>
          <w:spacing w:val="40"/>
        </w:rPr>
        <w:t> </w:t>
      </w:r>
      <w:r>
        <w:rPr>
          <w:color w:val="231F20"/>
        </w:rPr>
        <w:t>market</w:t>
      </w:r>
      <w:r>
        <w:rPr>
          <w:color w:val="231F20"/>
          <w:spacing w:val="40"/>
        </w:rPr>
        <w:t> </w:t>
      </w:r>
      <w:r>
        <w:rPr>
          <w:color w:val="231F20"/>
        </w:rPr>
        <w:t>manipulation</w:t>
      </w:r>
      <w:r>
        <w:rPr>
          <w:color w:val="231F20"/>
          <w:spacing w:val="40"/>
        </w:rPr>
        <w:t> </w:t>
      </w:r>
      <w:r>
        <w:rPr>
          <w:color w:val="231F20"/>
        </w:rPr>
        <w:t>patterns and network-based frauds. To improve efficiency and speed of communication with external entity,</w:t>
      </w:r>
      <w:r>
        <w:rPr>
          <w:color w:val="231F20"/>
          <w:spacing w:val="80"/>
        </w:rPr>
        <w:t> </w:t>
      </w:r>
      <w:r>
        <w:rPr>
          <w:color w:val="231F20"/>
        </w:rPr>
        <w:t>we have introduced a Single Universal Platform for Communications (SUPCOMS). Further to digitally enable quasi-judicial proceedings an e-adjudication portal has been launched.</w:t>
      </w:r>
    </w:p>
    <w:p>
      <w:pPr>
        <w:pStyle w:val="BodyText"/>
        <w:spacing w:before="176"/>
        <w:ind w:right="0"/>
      </w:pPr>
      <w:r>
        <w:rPr>
          <w:color w:val="231F20"/>
          <w:spacing w:val="-2"/>
        </w:rPr>
        <w:t>The</w:t>
      </w:r>
      <w:r>
        <w:rPr>
          <w:color w:val="231F20"/>
          <w:spacing w:val="-14"/>
        </w:rPr>
        <w:t> </w:t>
      </w:r>
      <w:r>
        <w:rPr>
          <w:color w:val="231F20"/>
          <w:spacing w:val="-2"/>
        </w:rPr>
        <w:t>Road</w:t>
      </w:r>
      <w:r>
        <w:rPr>
          <w:color w:val="231F20"/>
          <w:spacing w:val="-13"/>
        </w:rPr>
        <w:t> </w:t>
      </w:r>
      <w:r>
        <w:rPr>
          <w:color w:val="231F20"/>
          <w:spacing w:val="-2"/>
        </w:rPr>
        <w:t>Ahead:</w:t>
      </w:r>
      <w:r>
        <w:rPr>
          <w:color w:val="231F20"/>
          <w:spacing w:val="-12"/>
        </w:rPr>
        <w:t> </w:t>
      </w:r>
      <w:r>
        <w:rPr>
          <w:color w:val="231F20"/>
          <w:spacing w:val="-2"/>
        </w:rPr>
        <w:t>Vision</w:t>
      </w:r>
      <w:r>
        <w:rPr>
          <w:color w:val="231F20"/>
          <w:spacing w:val="-12"/>
        </w:rPr>
        <w:t> </w:t>
      </w:r>
      <w:r>
        <w:rPr>
          <w:color w:val="231F20"/>
          <w:spacing w:val="-2"/>
        </w:rPr>
        <w:t>for</w:t>
      </w:r>
      <w:r>
        <w:rPr>
          <w:color w:val="231F20"/>
          <w:spacing w:val="-13"/>
        </w:rPr>
        <w:t> </w:t>
      </w:r>
      <w:r>
        <w:rPr>
          <w:color w:val="231F20"/>
          <w:spacing w:val="-2"/>
        </w:rPr>
        <w:t>2026-27</w:t>
      </w:r>
      <w:r>
        <w:rPr>
          <w:color w:val="231F20"/>
          <w:spacing w:val="-13"/>
        </w:rPr>
        <w:t> </w:t>
      </w:r>
      <w:r>
        <w:rPr>
          <w:color w:val="231F20"/>
          <w:spacing w:val="-2"/>
        </w:rPr>
        <w:t>and</w:t>
      </w:r>
      <w:r>
        <w:rPr>
          <w:color w:val="231F20"/>
          <w:spacing w:val="-13"/>
        </w:rPr>
        <w:t> </w:t>
      </w:r>
      <w:r>
        <w:rPr>
          <w:color w:val="231F20"/>
          <w:spacing w:val="-2"/>
        </w:rPr>
        <w:t>Beyond</w:t>
      </w:r>
    </w:p>
    <w:p>
      <w:pPr>
        <w:pStyle w:val="BodyText"/>
        <w:spacing w:line="302" w:lineRule="auto" w:before="237"/>
        <w:ind w:right="126"/>
      </w:pPr>
      <w:r>
        <w:rPr>
          <w:color w:val="231F20"/>
        </w:rPr>
        <w:t>During 2025-26, we introduced a series of reforms, yet our vision for the future is even more ambitious. As the Indian securities market continues to evolve in scale and complexity, SEBI remains committed to fostering a proactive, technology-driven regulatory landscape centered on ease of doing business, market deepening and preserving market integrity.</w:t>
      </w:r>
    </w:p>
    <w:p>
      <w:pPr>
        <w:pStyle w:val="BodyText"/>
        <w:spacing w:line="302" w:lineRule="auto" w:before="175"/>
        <w:ind w:right="126"/>
      </w:pPr>
      <w:r>
        <w:rPr>
          <w:color w:val="231F20"/>
        </w:rPr>
        <w:t>In the coming year, SEBI will continue to focus on identifying and removing regulatory redundancies, simplifying procedural requirements and leveraging technology to ease the compliance burden.</w:t>
      </w:r>
    </w:p>
    <w:p>
      <w:pPr>
        <w:pStyle w:val="BodyText"/>
        <w:spacing w:line="302" w:lineRule="auto" w:before="172"/>
        <w:ind w:right="126"/>
      </w:pPr>
      <w:r>
        <w:rPr>
          <w:color w:val="231F20"/>
          <w:w w:val="105"/>
        </w:rPr>
        <w:t>We</w:t>
      </w:r>
      <w:r>
        <w:rPr>
          <w:color w:val="231F20"/>
          <w:spacing w:val="-3"/>
          <w:w w:val="105"/>
        </w:rPr>
        <w:t> </w:t>
      </w:r>
      <w:r>
        <w:rPr>
          <w:color w:val="231F20"/>
          <w:w w:val="105"/>
        </w:rPr>
        <w:t>will</w:t>
      </w:r>
      <w:r>
        <w:rPr>
          <w:color w:val="231F20"/>
          <w:spacing w:val="-3"/>
          <w:w w:val="105"/>
        </w:rPr>
        <w:t> </w:t>
      </w:r>
      <w:r>
        <w:rPr>
          <w:color w:val="231F20"/>
          <w:w w:val="105"/>
        </w:rPr>
        <w:t>continue</w:t>
      </w:r>
      <w:r>
        <w:rPr>
          <w:color w:val="231F20"/>
          <w:spacing w:val="-3"/>
          <w:w w:val="105"/>
        </w:rPr>
        <w:t> </w:t>
      </w:r>
      <w:r>
        <w:rPr>
          <w:color w:val="231F20"/>
          <w:w w:val="105"/>
        </w:rPr>
        <w:t>our</w:t>
      </w:r>
      <w:r>
        <w:rPr>
          <w:color w:val="231F20"/>
          <w:spacing w:val="-3"/>
          <w:w w:val="105"/>
        </w:rPr>
        <w:t> </w:t>
      </w:r>
      <w:r>
        <w:rPr>
          <w:color w:val="231F20"/>
          <w:w w:val="105"/>
        </w:rPr>
        <w:t>focus</w:t>
      </w:r>
      <w:r>
        <w:rPr>
          <w:color w:val="231F20"/>
          <w:spacing w:val="-3"/>
          <w:w w:val="105"/>
        </w:rPr>
        <w:t> </w:t>
      </w:r>
      <w:r>
        <w:rPr>
          <w:color w:val="231F20"/>
          <w:w w:val="105"/>
        </w:rPr>
        <w:t>on</w:t>
      </w:r>
      <w:r>
        <w:rPr>
          <w:color w:val="231F20"/>
          <w:spacing w:val="-3"/>
          <w:w w:val="105"/>
        </w:rPr>
        <w:t> </w:t>
      </w:r>
      <w:r>
        <w:rPr>
          <w:color w:val="231F20"/>
          <w:w w:val="105"/>
        </w:rPr>
        <w:t>deepening</w:t>
      </w:r>
      <w:r>
        <w:rPr>
          <w:color w:val="231F20"/>
          <w:spacing w:val="-3"/>
          <w:w w:val="105"/>
        </w:rPr>
        <w:t> </w:t>
      </w:r>
      <w:r>
        <w:rPr>
          <w:color w:val="231F20"/>
          <w:w w:val="105"/>
        </w:rPr>
        <w:t>the</w:t>
      </w:r>
      <w:r>
        <w:rPr>
          <w:color w:val="231F20"/>
          <w:spacing w:val="-3"/>
          <w:w w:val="105"/>
        </w:rPr>
        <w:t> </w:t>
      </w:r>
      <w:r>
        <w:rPr>
          <w:color w:val="231F20"/>
          <w:w w:val="105"/>
        </w:rPr>
        <w:t>cash equities</w:t>
      </w:r>
      <w:r>
        <w:rPr>
          <w:color w:val="231F20"/>
          <w:w w:val="105"/>
        </w:rPr>
        <w:t> market</w:t>
      </w:r>
      <w:r>
        <w:rPr>
          <w:color w:val="231F20"/>
          <w:w w:val="105"/>
        </w:rPr>
        <w:t> to</w:t>
      </w:r>
      <w:r>
        <w:rPr>
          <w:color w:val="231F20"/>
          <w:w w:val="105"/>
        </w:rPr>
        <w:t> spur</w:t>
      </w:r>
      <w:r>
        <w:rPr>
          <w:color w:val="231F20"/>
          <w:w w:val="105"/>
        </w:rPr>
        <w:t> capital</w:t>
      </w:r>
      <w:r>
        <w:rPr>
          <w:color w:val="231F20"/>
          <w:w w:val="105"/>
        </w:rPr>
        <w:t> formation.</w:t>
      </w:r>
      <w:r>
        <w:rPr>
          <w:color w:val="231F20"/>
          <w:w w:val="105"/>
        </w:rPr>
        <w:t> The Securities</w:t>
      </w:r>
      <w:r>
        <w:rPr>
          <w:color w:val="231F20"/>
          <w:w w:val="105"/>
        </w:rPr>
        <w:t> Lending</w:t>
      </w:r>
      <w:r>
        <w:rPr>
          <w:color w:val="231F20"/>
          <w:w w:val="105"/>
        </w:rPr>
        <w:t> and</w:t>
      </w:r>
      <w:r>
        <w:rPr>
          <w:color w:val="231F20"/>
          <w:w w:val="105"/>
        </w:rPr>
        <w:t> Borrowing</w:t>
      </w:r>
      <w:r>
        <w:rPr>
          <w:color w:val="231F20"/>
          <w:w w:val="105"/>
        </w:rPr>
        <w:t> scheme</w:t>
      </w:r>
      <w:r>
        <w:rPr>
          <w:color w:val="231F20"/>
          <w:w w:val="105"/>
        </w:rPr>
        <w:t> needs revamping</w:t>
      </w:r>
      <w:r>
        <w:rPr>
          <w:color w:val="231F20"/>
          <w:spacing w:val="-17"/>
          <w:w w:val="105"/>
        </w:rPr>
        <w:t> </w:t>
      </w:r>
      <w:r>
        <w:rPr>
          <w:color w:val="231F20"/>
          <w:w w:val="105"/>
        </w:rPr>
        <w:t>to</w:t>
      </w:r>
      <w:r>
        <w:rPr>
          <w:color w:val="231F20"/>
          <w:spacing w:val="-16"/>
          <w:w w:val="105"/>
        </w:rPr>
        <w:t> </w:t>
      </w:r>
      <w:r>
        <w:rPr>
          <w:color w:val="231F20"/>
          <w:w w:val="105"/>
        </w:rPr>
        <w:t>improve</w:t>
      </w:r>
      <w:r>
        <w:rPr>
          <w:color w:val="231F20"/>
          <w:spacing w:val="-16"/>
          <w:w w:val="105"/>
        </w:rPr>
        <w:t> </w:t>
      </w:r>
      <w:r>
        <w:rPr>
          <w:color w:val="231F20"/>
          <w:w w:val="105"/>
        </w:rPr>
        <w:t>price</w:t>
      </w:r>
      <w:r>
        <w:rPr>
          <w:color w:val="231F20"/>
          <w:spacing w:val="-16"/>
          <w:w w:val="105"/>
        </w:rPr>
        <w:t> </w:t>
      </w:r>
      <w:r>
        <w:rPr>
          <w:color w:val="231F20"/>
          <w:w w:val="105"/>
        </w:rPr>
        <w:t>discovery</w:t>
      </w:r>
      <w:r>
        <w:rPr>
          <w:color w:val="231F20"/>
          <w:spacing w:val="-16"/>
          <w:w w:val="105"/>
        </w:rPr>
        <w:t> </w:t>
      </w:r>
      <w:r>
        <w:rPr>
          <w:color w:val="231F20"/>
          <w:w w:val="105"/>
        </w:rPr>
        <w:t>and</w:t>
      </w:r>
      <w:r>
        <w:rPr>
          <w:color w:val="231F20"/>
          <w:spacing w:val="-16"/>
          <w:w w:val="105"/>
        </w:rPr>
        <w:t> </w:t>
      </w:r>
      <w:r>
        <w:rPr>
          <w:color w:val="231F20"/>
          <w:w w:val="105"/>
        </w:rPr>
        <w:t>facilitate interlinkage</w:t>
      </w:r>
      <w:r>
        <w:rPr>
          <w:color w:val="231F20"/>
          <w:w w:val="105"/>
        </w:rPr>
        <w:t> between</w:t>
      </w:r>
      <w:r>
        <w:rPr>
          <w:color w:val="231F20"/>
          <w:w w:val="105"/>
        </w:rPr>
        <w:t> the</w:t>
      </w:r>
      <w:r>
        <w:rPr>
          <w:color w:val="231F20"/>
          <w:w w:val="105"/>
        </w:rPr>
        <w:t> cash</w:t>
      </w:r>
      <w:r>
        <w:rPr>
          <w:color w:val="231F20"/>
          <w:w w:val="105"/>
        </w:rPr>
        <w:t> and</w:t>
      </w:r>
      <w:r>
        <w:rPr>
          <w:color w:val="231F20"/>
          <w:w w:val="105"/>
        </w:rPr>
        <w:t> derivatives </w:t>
      </w:r>
      <w:r>
        <w:rPr>
          <w:color w:val="231F20"/>
        </w:rPr>
        <w:t>segments.</w:t>
      </w:r>
      <w:r>
        <w:rPr>
          <w:color w:val="231F20"/>
          <w:spacing w:val="-16"/>
        </w:rPr>
        <w:t> </w:t>
      </w:r>
      <w:r>
        <w:rPr>
          <w:color w:val="231F20"/>
        </w:rPr>
        <w:t>We</w:t>
      </w:r>
      <w:r>
        <w:rPr>
          <w:color w:val="231F20"/>
          <w:spacing w:val="-15"/>
        </w:rPr>
        <w:t> </w:t>
      </w:r>
      <w:r>
        <w:rPr>
          <w:color w:val="231F20"/>
        </w:rPr>
        <w:t>will</w:t>
      </w:r>
      <w:r>
        <w:rPr>
          <w:color w:val="231F20"/>
          <w:spacing w:val="-15"/>
        </w:rPr>
        <w:t> </w:t>
      </w:r>
      <w:r>
        <w:rPr>
          <w:color w:val="231F20"/>
        </w:rPr>
        <w:t>continue</w:t>
      </w:r>
      <w:r>
        <w:rPr>
          <w:color w:val="231F20"/>
          <w:spacing w:val="-16"/>
        </w:rPr>
        <w:t> </w:t>
      </w:r>
      <w:r>
        <w:rPr>
          <w:color w:val="231F20"/>
        </w:rPr>
        <w:t>our</w:t>
      </w:r>
      <w:r>
        <w:rPr>
          <w:color w:val="231F20"/>
          <w:spacing w:val="-15"/>
        </w:rPr>
        <w:t> </w:t>
      </w:r>
      <w:r>
        <w:rPr>
          <w:color w:val="231F20"/>
        </w:rPr>
        <w:t>agenda</w:t>
      </w:r>
      <w:r>
        <w:rPr>
          <w:color w:val="231F20"/>
          <w:spacing w:val="-15"/>
        </w:rPr>
        <w:t> </w:t>
      </w:r>
      <w:r>
        <w:rPr>
          <w:color w:val="231F20"/>
        </w:rPr>
        <w:t>to</w:t>
      </w:r>
      <w:r>
        <w:rPr>
          <w:color w:val="231F20"/>
          <w:spacing w:val="-15"/>
        </w:rPr>
        <w:t> </w:t>
      </w:r>
      <w:r>
        <w:rPr>
          <w:color w:val="231F20"/>
        </w:rPr>
        <w:t>strengthen India’s</w:t>
      </w:r>
      <w:r>
        <w:rPr>
          <w:color w:val="231F20"/>
          <w:spacing w:val="-2"/>
        </w:rPr>
        <w:t> </w:t>
      </w:r>
      <w:r>
        <w:rPr>
          <w:color w:val="231F20"/>
        </w:rPr>
        <w:t>commodity</w:t>
      </w:r>
      <w:r>
        <w:rPr>
          <w:color w:val="231F20"/>
          <w:spacing w:val="-2"/>
        </w:rPr>
        <w:t> </w:t>
      </w:r>
      <w:r>
        <w:rPr>
          <w:color w:val="231F20"/>
        </w:rPr>
        <w:t>markets</w:t>
      </w:r>
      <w:r>
        <w:rPr>
          <w:color w:val="231F20"/>
          <w:spacing w:val="-2"/>
        </w:rPr>
        <w:t> </w:t>
      </w:r>
      <w:r>
        <w:rPr>
          <w:color w:val="231F20"/>
        </w:rPr>
        <w:t>–</w:t>
      </w:r>
      <w:r>
        <w:rPr>
          <w:color w:val="231F20"/>
          <w:spacing w:val="-1"/>
        </w:rPr>
        <w:t> </w:t>
      </w:r>
      <w:r>
        <w:rPr>
          <w:color w:val="231F20"/>
        </w:rPr>
        <w:t>both</w:t>
      </w:r>
      <w:r>
        <w:rPr>
          <w:color w:val="231F20"/>
          <w:spacing w:val="-2"/>
        </w:rPr>
        <w:t> </w:t>
      </w:r>
      <w:r>
        <w:rPr>
          <w:color w:val="231F20"/>
        </w:rPr>
        <w:t>agri</w:t>
      </w:r>
      <w:r>
        <w:rPr>
          <w:color w:val="231F20"/>
          <w:spacing w:val="-2"/>
        </w:rPr>
        <w:t> </w:t>
      </w:r>
      <w:r>
        <w:rPr>
          <w:color w:val="231F20"/>
        </w:rPr>
        <w:t>and</w:t>
      </w:r>
      <w:r>
        <w:rPr>
          <w:color w:val="231F20"/>
          <w:spacing w:val="-1"/>
        </w:rPr>
        <w:t> </w:t>
      </w:r>
      <w:r>
        <w:rPr>
          <w:color w:val="231F20"/>
        </w:rPr>
        <w:t>non-</w:t>
      </w:r>
      <w:r>
        <w:rPr>
          <w:color w:val="231F20"/>
          <w:spacing w:val="-4"/>
        </w:rPr>
        <w:t>agri.</w:t>
      </w:r>
    </w:p>
    <w:p>
      <w:pPr>
        <w:pStyle w:val="BodyText"/>
        <w:spacing w:line="302" w:lineRule="auto" w:before="175"/>
        <w:ind w:right="125"/>
      </w:pPr>
      <w:r>
        <w:rPr>
          <w:color w:val="231F20"/>
        </w:rPr>
        <w:t>To further accelerate capital mobilisation, we will introduce a fast-track mechanism for launch of AIF schemes and develop a single window clearance system for intermediaries associated with multiple MIIs, significantly reducing the compliance burden. Our</w:t>
      </w:r>
      <w:r>
        <w:rPr>
          <w:color w:val="231F20"/>
          <w:spacing w:val="57"/>
          <w:w w:val="150"/>
        </w:rPr>
        <w:t> </w:t>
      </w:r>
      <w:r>
        <w:rPr>
          <w:color w:val="231F20"/>
        </w:rPr>
        <w:t>focus</w:t>
      </w:r>
      <w:r>
        <w:rPr>
          <w:color w:val="231F20"/>
          <w:spacing w:val="58"/>
          <w:w w:val="150"/>
        </w:rPr>
        <w:t> </w:t>
      </w:r>
      <w:r>
        <w:rPr>
          <w:color w:val="231F20"/>
        </w:rPr>
        <w:t>extends</w:t>
      </w:r>
      <w:r>
        <w:rPr>
          <w:color w:val="231F20"/>
          <w:spacing w:val="57"/>
          <w:w w:val="150"/>
        </w:rPr>
        <w:t> </w:t>
      </w:r>
      <w:r>
        <w:rPr>
          <w:color w:val="231F20"/>
        </w:rPr>
        <w:t>to</w:t>
      </w:r>
      <w:r>
        <w:rPr>
          <w:color w:val="231F20"/>
          <w:spacing w:val="58"/>
          <w:w w:val="150"/>
        </w:rPr>
        <w:t> </w:t>
      </w:r>
      <w:r>
        <w:rPr>
          <w:color w:val="231F20"/>
        </w:rPr>
        <w:t>the</w:t>
      </w:r>
      <w:r>
        <w:rPr>
          <w:color w:val="231F20"/>
          <w:spacing w:val="58"/>
          <w:w w:val="150"/>
        </w:rPr>
        <w:t> </w:t>
      </w:r>
      <w:r>
        <w:rPr>
          <w:color w:val="231F20"/>
        </w:rPr>
        <w:t>modernization</w:t>
      </w:r>
      <w:r>
        <w:rPr>
          <w:color w:val="231F20"/>
          <w:spacing w:val="57"/>
          <w:w w:val="150"/>
        </w:rPr>
        <w:t> </w:t>
      </w:r>
      <w:r>
        <w:rPr>
          <w:color w:val="231F20"/>
        </w:rPr>
        <w:t>of</w:t>
      </w:r>
      <w:r>
        <w:rPr>
          <w:color w:val="231F20"/>
          <w:spacing w:val="58"/>
          <w:w w:val="150"/>
        </w:rPr>
        <w:t> </w:t>
      </w:r>
      <w:r>
        <w:rPr>
          <w:color w:val="231F20"/>
          <w:spacing w:val="-5"/>
        </w:rPr>
        <w:t>the</w:t>
      </w:r>
    </w:p>
    <w:p>
      <w:pPr>
        <w:pStyle w:val="BodyText"/>
        <w:spacing w:after="0" w:line="302" w:lineRule="auto"/>
        <w:sectPr>
          <w:pgSz w:w="12240" w:h="15840"/>
          <w:pgMar w:top="780" w:bottom="280" w:left="720" w:right="720"/>
          <w:cols w:num="2" w:equalWidth="0">
            <w:col w:w="5273" w:space="167"/>
            <w:col w:w="5360"/>
          </w:cols>
        </w:sectPr>
      </w:pPr>
    </w:p>
    <w:p>
      <w:pPr>
        <w:pStyle w:val="BodyText"/>
        <w:spacing w:line="304" w:lineRule="auto" w:before="38"/>
        <w:ind w:left="136" w:right="39"/>
      </w:pPr>
      <w:r>
        <w:rPr/>
        <mc:AlternateContent>
          <mc:Choice Requires="wps">
            <w:drawing>
              <wp:anchor distT="0" distB="0" distL="0" distR="0" allowOverlap="1" layoutInCell="1" locked="0" behindDoc="1" simplePos="0" relativeHeight="487534592">
                <wp:simplePos x="0" y="0"/>
                <wp:positionH relativeFrom="page">
                  <wp:posOffset>0</wp:posOffset>
                </wp:positionH>
                <wp:positionV relativeFrom="page">
                  <wp:posOffset>0</wp:posOffset>
                </wp:positionV>
                <wp:extent cx="7772400" cy="1005840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AF2EE"/>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5781888" id="docshape9" filled="true" fillcolor="#faf2ee" stroked="false">
                <v:fill type="solid"/>
                <w10:wrap type="none"/>
              </v:rect>
            </w:pict>
          </mc:Fallback>
        </mc:AlternateContent>
      </w:r>
      <w:r>
        <w:rPr>
          <w:color w:val="231F20"/>
          <w:w w:val="105"/>
        </w:rPr>
        <w:t>market</w:t>
      </w:r>
      <w:r>
        <w:rPr>
          <w:color w:val="231F20"/>
          <w:w w:val="105"/>
        </w:rPr>
        <w:t> intermediary</w:t>
      </w:r>
      <w:r>
        <w:rPr>
          <w:color w:val="231F20"/>
          <w:w w:val="105"/>
        </w:rPr>
        <w:t> interface</w:t>
      </w:r>
      <w:r>
        <w:rPr>
          <w:color w:val="231F20"/>
          <w:w w:val="105"/>
        </w:rPr>
        <w:t> through</w:t>
      </w:r>
      <w:r>
        <w:rPr>
          <w:color w:val="231F20"/>
          <w:w w:val="105"/>
        </w:rPr>
        <w:t> the</w:t>
      </w:r>
      <w:r>
        <w:rPr>
          <w:color w:val="231F20"/>
          <w:w w:val="105"/>
        </w:rPr>
        <w:t> launch of</w:t>
      </w:r>
      <w:r>
        <w:rPr>
          <w:color w:val="231F20"/>
          <w:w w:val="105"/>
        </w:rPr>
        <w:t> the</w:t>
      </w:r>
      <w:r>
        <w:rPr>
          <w:color w:val="231F20"/>
          <w:w w:val="105"/>
        </w:rPr>
        <w:t> SEBI</w:t>
      </w:r>
      <w:r>
        <w:rPr>
          <w:color w:val="231F20"/>
          <w:w w:val="105"/>
        </w:rPr>
        <w:t> Setu</w:t>
      </w:r>
      <w:r>
        <w:rPr>
          <w:color w:val="231F20"/>
          <w:w w:val="105"/>
        </w:rPr>
        <w:t> Portal</w:t>
      </w:r>
      <w:r>
        <w:rPr>
          <w:color w:val="231F20"/>
          <w:w w:val="105"/>
        </w:rPr>
        <w:t> and</w:t>
      </w:r>
      <w:r>
        <w:rPr>
          <w:color w:val="231F20"/>
          <w:w w:val="105"/>
        </w:rPr>
        <w:t> a</w:t>
      </w:r>
      <w:r>
        <w:rPr>
          <w:color w:val="231F20"/>
          <w:w w:val="105"/>
        </w:rPr>
        <w:t> pilot</w:t>
      </w:r>
      <w:r>
        <w:rPr>
          <w:color w:val="231F20"/>
          <w:w w:val="105"/>
        </w:rPr>
        <w:t> project</w:t>
      </w:r>
      <w:r>
        <w:rPr>
          <w:color w:val="231F20"/>
          <w:w w:val="105"/>
        </w:rPr>
        <w:t> on</w:t>
      </w:r>
      <w:r>
        <w:rPr>
          <w:color w:val="231F20"/>
          <w:w w:val="105"/>
        </w:rPr>
        <w:t> the tokenization</w:t>
      </w:r>
      <w:r>
        <w:rPr>
          <w:color w:val="231F20"/>
          <w:w w:val="105"/>
        </w:rPr>
        <w:t> of</w:t>
      </w:r>
      <w:r>
        <w:rPr>
          <w:color w:val="231F20"/>
          <w:w w:val="105"/>
        </w:rPr>
        <w:t> corporate</w:t>
      </w:r>
      <w:r>
        <w:rPr>
          <w:color w:val="231F20"/>
          <w:w w:val="105"/>
        </w:rPr>
        <w:t> bonds</w:t>
      </w:r>
      <w:r>
        <w:rPr>
          <w:color w:val="231F20"/>
          <w:w w:val="105"/>
        </w:rPr>
        <w:t> using</w:t>
      </w:r>
      <w:r>
        <w:rPr>
          <w:color w:val="231F20"/>
          <w:w w:val="105"/>
        </w:rPr>
        <w:t> distributed ledger</w:t>
      </w:r>
      <w:r>
        <w:rPr>
          <w:color w:val="231F20"/>
          <w:w w:val="105"/>
        </w:rPr>
        <w:t> technology.</w:t>
      </w:r>
      <w:r>
        <w:rPr>
          <w:color w:val="231F20"/>
          <w:w w:val="105"/>
        </w:rPr>
        <w:t> In</w:t>
      </w:r>
      <w:r>
        <w:rPr>
          <w:color w:val="231F20"/>
          <w:w w:val="105"/>
        </w:rPr>
        <w:t> tandem,</w:t>
      </w:r>
      <w:r>
        <w:rPr>
          <w:color w:val="231F20"/>
          <w:w w:val="105"/>
        </w:rPr>
        <w:t> we</w:t>
      </w:r>
      <w:r>
        <w:rPr>
          <w:color w:val="231F20"/>
          <w:w w:val="105"/>
        </w:rPr>
        <w:t> are</w:t>
      </w:r>
      <w:r>
        <w:rPr>
          <w:color w:val="231F20"/>
          <w:w w:val="105"/>
        </w:rPr>
        <w:t> advancing our</w:t>
      </w:r>
      <w:r>
        <w:rPr>
          <w:color w:val="231F20"/>
          <w:spacing w:val="-17"/>
          <w:w w:val="105"/>
        </w:rPr>
        <w:t> </w:t>
      </w:r>
      <w:r>
        <w:rPr>
          <w:color w:val="231F20"/>
          <w:w w:val="105"/>
        </w:rPr>
        <w:t>cybersecurity</w:t>
      </w:r>
      <w:r>
        <w:rPr>
          <w:color w:val="231F20"/>
          <w:spacing w:val="-16"/>
          <w:w w:val="105"/>
        </w:rPr>
        <w:t> </w:t>
      </w:r>
      <w:r>
        <w:rPr>
          <w:color w:val="231F20"/>
          <w:w w:val="105"/>
        </w:rPr>
        <w:t>frontiers</w:t>
      </w:r>
      <w:r>
        <w:rPr>
          <w:color w:val="231F20"/>
          <w:spacing w:val="-16"/>
          <w:w w:val="105"/>
        </w:rPr>
        <w:t> </w:t>
      </w:r>
      <w:r>
        <w:rPr>
          <w:color w:val="231F20"/>
          <w:w w:val="105"/>
        </w:rPr>
        <w:t>by</w:t>
      </w:r>
      <w:r>
        <w:rPr>
          <w:color w:val="231F20"/>
          <w:spacing w:val="-16"/>
          <w:w w:val="105"/>
        </w:rPr>
        <w:t> </w:t>
      </w:r>
      <w:r>
        <w:rPr>
          <w:color w:val="231F20"/>
          <w:w w:val="105"/>
        </w:rPr>
        <w:t>preparing</w:t>
      </w:r>
      <w:r>
        <w:rPr>
          <w:color w:val="231F20"/>
          <w:spacing w:val="-16"/>
          <w:w w:val="105"/>
        </w:rPr>
        <w:t> </w:t>
      </w:r>
      <w:r>
        <w:rPr>
          <w:color w:val="231F20"/>
          <w:w w:val="105"/>
        </w:rPr>
        <w:t>the</w:t>
      </w:r>
      <w:r>
        <w:rPr>
          <w:color w:val="231F20"/>
          <w:spacing w:val="-16"/>
          <w:w w:val="105"/>
        </w:rPr>
        <w:t> </w:t>
      </w:r>
      <w:r>
        <w:rPr>
          <w:color w:val="231F20"/>
          <w:w w:val="105"/>
        </w:rPr>
        <w:t>market for</w:t>
      </w:r>
      <w:r>
        <w:rPr>
          <w:color w:val="231F20"/>
          <w:w w:val="105"/>
        </w:rPr>
        <w:t> quantum-era</w:t>
      </w:r>
      <w:r>
        <w:rPr>
          <w:color w:val="231F20"/>
          <w:w w:val="105"/>
        </w:rPr>
        <w:t> risks</w:t>
      </w:r>
      <w:r>
        <w:rPr>
          <w:color w:val="231F20"/>
          <w:w w:val="105"/>
        </w:rPr>
        <w:t> and</w:t>
      </w:r>
      <w:r>
        <w:rPr>
          <w:color w:val="231F20"/>
          <w:w w:val="105"/>
        </w:rPr>
        <w:t> developing</w:t>
      </w:r>
      <w:r>
        <w:rPr>
          <w:color w:val="231F20"/>
          <w:w w:val="105"/>
        </w:rPr>
        <w:t> long-term technology roadmaps for our MIIs.</w:t>
      </w:r>
    </w:p>
    <w:p>
      <w:pPr>
        <w:pStyle w:val="BodyText"/>
        <w:spacing w:line="304" w:lineRule="auto"/>
        <w:ind w:left="136"/>
      </w:pPr>
      <w:r>
        <w:rPr>
          <w:color w:val="231F20"/>
        </w:rPr>
        <w:t>At the heart of this evolution remains the empowerment of the individual investor. A landmark initiative in this direction is Project Jagrook, inaugurated by the Union Finance Minister. Project Jagrook is our effort to make investor awareness a unified national mission. It will bring together SEBI, the MIIs, AMFI and NISM, through a 360-degree campaign combining physical and digital outreach. The aim is not just wider participation, but about responsible participation. It will empower investors</w:t>
      </w:r>
      <w:r>
        <w:rPr>
          <w:color w:val="231F20"/>
          <w:spacing w:val="40"/>
        </w:rPr>
        <w:t> </w:t>
      </w:r>
      <w:r>
        <w:rPr>
          <w:color w:val="231F20"/>
        </w:rPr>
        <w:t>to ask the right questions, make informed choices, and</w:t>
      </w:r>
      <w:r>
        <w:rPr>
          <w:color w:val="231F20"/>
          <w:spacing w:val="-6"/>
        </w:rPr>
        <w:t> </w:t>
      </w:r>
      <w:r>
        <w:rPr>
          <w:color w:val="231F20"/>
        </w:rPr>
        <w:t>enter</w:t>
      </w:r>
      <w:r>
        <w:rPr>
          <w:color w:val="231F20"/>
          <w:spacing w:val="-6"/>
        </w:rPr>
        <w:t> </w:t>
      </w:r>
      <w:r>
        <w:rPr>
          <w:color w:val="231F20"/>
        </w:rPr>
        <w:t>the</w:t>
      </w:r>
      <w:r>
        <w:rPr>
          <w:color w:val="231F20"/>
          <w:spacing w:val="-6"/>
        </w:rPr>
        <w:t> </w:t>
      </w:r>
      <w:r>
        <w:rPr>
          <w:color w:val="231F20"/>
        </w:rPr>
        <w:t>market</w:t>
      </w:r>
      <w:r>
        <w:rPr>
          <w:color w:val="231F20"/>
          <w:spacing w:val="-6"/>
        </w:rPr>
        <w:t> </w:t>
      </w:r>
      <w:r>
        <w:rPr>
          <w:color w:val="231F20"/>
        </w:rPr>
        <w:t>with</w:t>
      </w:r>
      <w:r>
        <w:rPr>
          <w:color w:val="231F20"/>
          <w:spacing w:val="-5"/>
        </w:rPr>
        <w:t> </w:t>
      </w:r>
      <w:r>
        <w:rPr>
          <w:color w:val="231F20"/>
        </w:rPr>
        <w:t>confidence,</w:t>
      </w:r>
      <w:r>
        <w:rPr>
          <w:color w:val="231F20"/>
          <w:spacing w:val="-6"/>
        </w:rPr>
        <w:t> </w:t>
      </w:r>
      <w:r>
        <w:rPr>
          <w:color w:val="231F20"/>
        </w:rPr>
        <w:t>not</w:t>
      </w:r>
      <w:r>
        <w:rPr>
          <w:color w:val="231F20"/>
          <w:spacing w:val="-6"/>
        </w:rPr>
        <w:t> </w:t>
      </w:r>
      <w:r>
        <w:rPr>
          <w:color w:val="231F20"/>
          <w:spacing w:val="-2"/>
        </w:rPr>
        <w:t>confusion.</w:t>
      </w:r>
    </w:p>
    <w:p>
      <w:pPr>
        <w:pStyle w:val="BodyText"/>
        <w:spacing w:line="304" w:lineRule="auto" w:before="156"/>
        <w:ind w:left="136" w:right="39"/>
      </w:pPr>
      <w:r>
        <w:rPr>
          <w:color w:val="231F20"/>
          <w:w w:val="105"/>
        </w:rPr>
        <w:t>These</w:t>
      </w:r>
      <w:r>
        <w:rPr>
          <w:color w:val="231F20"/>
          <w:w w:val="105"/>
        </w:rPr>
        <w:t> future-ready</w:t>
      </w:r>
      <w:r>
        <w:rPr>
          <w:color w:val="231F20"/>
          <w:w w:val="105"/>
        </w:rPr>
        <w:t> steps,</w:t>
      </w:r>
      <w:r>
        <w:rPr>
          <w:color w:val="231F20"/>
          <w:w w:val="105"/>
        </w:rPr>
        <w:t> will</w:t>
      </w:r>
      <w:r>
        <w:rPr>
          <w:color w:val="231F20"/>
          <w:w w:val="105"/>
        </w:rPr>
        <w:t> ensure</w:t>
      </w:r>
      <w:r>
        <w:rPr>
          <w:color w:val="231F20"/>
          <w:w w:val="105"/>
        </w:rPr>
        <w:t> that</w:t>
      </w:r>
      <w:r>
        <w:rPr>
          <w:color w:val="231F20"/>
          <w:w w:val="105"/>
        </w:rPr>
        <w:t> SEBI’s regulatory</w:t>
      </w:r>
      <w:r>
        <w:rPr>
          <w:color w:val="231F20"/>
          <w:spacing w:val="38"/>
          <w:w w:val="105"/>
        </w:rPr>
        <w:t> </w:t>
      </w:r>
      <w:r>
        <w:rPr>
          <w:color w:val="231F20"/>
          <w:w w:val="105"/>
        </w:rPr>
        <w:t>oversight</w:t>
      </w:r>
      <w:r>
        <w:rPr>
          <w:color w:val="231F20"/>
          <w:spacing w:val="38"/>
          <w:w w:val="105"/>
        </w:rPr>
        <w:t> </w:t>
      </w:r>
      <w:r>
        <w:rPr>
          <w:color w:val="231F20"/>
          <w:w w:val="105"/>
        </w:rPr>
        <w:t>remains</w:t>
      </w:r>
      <w:r>
        <w:rPr>
          <w:color w:val="231F20"/>
          <w:spacing w:val="38"/>
          <w:w w:val="105"/>
        </w:rPr>
        <w:t> </w:t>
      </w:r>
      <w:r>
        <w:rPr>
          <w:color w:val="231F20"/>
          <w:w w:val="105"/>
        </w:rPr>
        <w:t>as</w:t>
      </w:r>
      <w:r>
        <w:rPr>
          <w:color w:val="231F20"/>
          <w:spacing w:val="38"/>
          <w:w w:val="105"/>
        </w:rPr>
        <w:t> </w:t>
      </w:r>
      <w:r>
        <w:rPr>
          <w:color w:val="231F20"/>
          <w:w w:val="105"/>
        </w:rPr>
        <w:t>dynamic</w:t>
      </w:r>
      <w:r>
        <w:rPr>
          <w:color w:val="231F20"/>
          <w:spacing w:val="38"/>
          <w:w w:val="105"/>
        </w:rPr>
        <w:t> </w:t>
      </w:r>
      <w:r>
        <w:rPr>
          <w:color w:val="231F20"/>
          <w:w w:val="105"/>
        </w:rPr>
        <w:t>as</w:t>
      </w:r>
      <w:r>
        <w:rPr>
          <w:color w:val="231F20"/>
          <w:spacing w:val="38"/>
          <w:w w:val="105"/>
        </w:rPr>
        <w:t> </w:t>
      </w:r>
      <w:r>
        <w:rPr>
          <w:color w:val="231F20"/>
          <w:spacing w:val="-5"/>
          <w:w w:val="105"/>
        </w:rPr>
        <w:t>the</w:t>
      </w:r>
    </w:p>
    <w:p>
      <w:pPr>
        <w:pStyle w:val="BodyText"/>
        <w:spacing w:line="319" w:lineRule="auto" w:before="39"/>
        <w:ind w:left="136" w:right="126"/>
      </w:pPr>
      <w:r>
        <w:rPr/>
        <w:br w:type="column"/>
      </w:r>
      <w:r>
        <w:rPr>
          <w:color w:val="231F20"/>
        </w:rPr>
        <w:t>markets we serve, firmly anchoring our progress toward the goals of Viksit Bharat 2047.</w:t>
      </w:r>
    </w:p>
    <w:p>
      <w:pPr>
        <w:pStyle w:val="BodyText"/>
        <w:spacing w:before="169"/>
        <w:ind w:left="136" w:right="0"/>
      </w:pPr>
      <w:r>
        <w:rPr>
          <w:color w:val="231F20"/>
        </w:rPr>
        <w:t>In</w:t>
      </w:r>
      <w:r>
        <w:rPr>
          <w:color w:val="231F20"/>
          <w:spacing w:val="-2"/>
        </w:rPr>
        <w:t> Appreciation</w:t>
      </w:r>
    </w:p>
    <w:p>
      <w:pPr>
        <w:pStyle w:val="BodyText"/>
        <w:spacing w:line="319" w:lineRule="auto" w:before="253"/>
        <w:ind w:left="136" w:right="125"/>
      </w:pPr>
      <w:r>
        <w:rPr>
          <w:color w:val="231F20"/>
          <w:w w:val="105"/>
        </w:rPr>
        <w:t>The</w:t>
      </w:r>
      <w:r>
        <w:rPr>
          <w:color w:val="231F20"/>
          <w:w w:val="105"/>
        </w:rPr>
        <w:t> progress</w:t>
      </w:r>
      <w:r>
        <w:rPr>
          <w:color w:val="231F20"/>
          <w:w w:val="105"/>
        </w:rPr>
        <w:t> of</w:t>
      </w:r>
      <w:r>
        <w:rPr>
          <w:color w:val="231F20"/>
          <w:w w:val="105"/>
        </w:rPr>
        <w:t> India’s</w:t>
      </w:r>
      <w:r>
        <w:rPr>
          <w:color w:val="231F20"/>
          <w:w w:val="105"/>
        </w:rPr>
        <w:t> securities</w:t>
      </w:r>
      <w:r>
        <w:rPr>
          <w:color w:val="231F20"/>
          <w:w w:val="105"/>
        </w:rPr>
        <w:t> market</w:t>
      </w:r>
      <w:r>
        <w:rPr>
          <w:color w:val="231F20"/>
          <w:w w:val="105"/>
        </w:rPr>
        <w:t> is </w:t>
      </w:r>
      <w:r>
        <w:rPr>
          <w:color w:val="231F20"/>
        </w:rPr>
        <w:t>fundamentally</w:t>
      </w:r>
      <w:r>
        <w:rPr>
          <w:color w:val="231F20"/>
          <w:spacing w:val="-2"/>
        </w:rPr>
        <w:t> </w:t>
      </w:r>
      <w:r>
        <w:rPr>
          <w:color w:val="231F20"/>
        </w:rPr>
        <w:t>a</w:t>
      </w:r>
      <w:r>
        <w:rPr>
          <w:color w:val="231F20"/>
          <w:spacing w:val="-2"/>
        </w:rPr>
        <w:t> </w:t>
      </w:r>
      <w:r>
        <w:rPr>
          <w:color w:val="231F20"/>
        </w:rPr>
        <w:t>shared</w:t>
      </w:r>
      <w:r>
        <w:rPr>
          <w:color w:val="231F20"/>
          <w:spacing w:val="-2"/>
        </w:rPr>
        <w:t> </w:t>
      </w:r>
      <w:r>
        <w:rPr>
          <w:color w:val="231F20"/>
        </w:rPr>
        <w:t>endeavour,</w:t>
      </w:r>
      <w:r>
        <w:rPr>
          <w:color w:val="231F20"/>
          <w:spacing w:val="-2"/>
        </w:rPr>
        <w:t> </w:t>
      </w:r>
      <w:r>
        <w:rPr>
          <w:color w:val="231F20"/>
        </w:rPr>
        <w:t>and</w:t>
      </w:r>
      <w:r>
        <w:rPr>
          <w:color w:val="231F20"/>
          <w:spacing w:val="-2"/>
        </w:rPr>
        <w:t> </w:t>
      </w:r>
      <w:r>
        <w:rPr>
          <w:color w:val="231F20"/>
        </w:rPr>
        <w:t>I</w:t>
      </w:r>
      <w:r>
        <w:rPr>
          <w:color w:val="231F20"/>
          <w:spacing w:val="-2"/>
        </w:rPr>
        <w:t> </w:t>
      </w:r>
      <w:r>
        <w:rPr>
          <w:color w:val="231F20"/>
        </w:rPr>
        <w:t>am</w:t>
      </w:r>
      <w:r>
        <w:rPr>
          <w:color w:val="231F20"/>
          <w:spacing w:val="-2"/>
        </w:rPr>
        <w:t> </w:t>
      </w:r>
      <w:r>
        <w:rPr>
          <w:color w:val="231F20"/>
        </w:rPr>
        <w:t>deeply </w:t>
      </w:r>
      <w:r>
        <w:rPr>
          <w:color w:val="231F20"/>
          <w:w w:val="105"/>
        </w:rPr>
        <w:t>grateful</w:t>
      </w:r>
      <w:r>
        <w:rPr>
          <w:color w:val="231F20"/>
          <w:w w:val="105"/>
        </w:rPr>
        <w:t> to</w:t>
      </w:r>
      <w:r>
        <w:rPr>
          <w:color w:val="231F20"/>
          <w:w w:val="105"/>
        </w:rPr>
        <w:t> the</w:t>
      </w:r>
      <w:r>
        <w:rPr>
          <w:color w:val="231F20"/>
          <w:w w:val="105"/>
        </w:rPr>
        <w:t> members</w:t>
      </w:r>
      <w:r>
        <w:rPr>
          <w:color w:val="231F20"/>
          <w:w w:val="105"/>
        </w:rPr>
        <w:t> of</w:t>
      </w:r>
      <w:r>
        <w:rPr>
          <w:color w:val="231F20"/>
          <w:w w:val="105"/>
        </w:rPr>
        <w:t> the</w:t>
      </w:r>
      <w:r>
        <w:rPr>
          <w:color w:val="231F20"/>
          <w:w w:val="105"/>
        </w:rPr>
        <w:t> SEBI</w:t>
      </w:r>
      <w:r>
        <w:rPr>
          <w:color w:val="231F20"/>
          <w:w w:val="105"/>
        </w:rPr>
        <w:t> Board</w:t>
      </w:r>
      <w:r>
        <w:rPr>
          <w:color w:val="231F20"/>
          <w:w w:val="105"/>
        </w:rPr>
        <w:t> for their</w:t>
      </w:r>
      <w:r>
        <w:rPr>
          <w:color w:val="231F20"/>
          <w:spacing w:val="-1"/>
          <w:w w:val="105"/>
        </w:rPr>
        <w:t> </w:t>
      </w:r>
      <w:r>
        <w:rPr>
          <w:color w:val="231F20"/>
          <w:w w:val="105"/>
        </w:rPr>
        <w:t>guidance</w:t>
      </w:r>
      <w:r>
        <w:rPr>
          <w:color w:val="231F20"/>
          <w:spacing w:val="-1"/>
          <w:w w:val="105"/>
        </w:rPr>
        <w:t> </w:t>
      </w:r>
      <w:r>
        <w:rPr>
          <w:color w:val="231F20"/>
          <w:w w:val="105"/>
        </w:rPr>
        <w:t>and</w:t>
      </w:r>
      <w:r>
        <w:rPr>
          <w:color w:val="231F20"/>
          <w:spacing w:val="-1"/>
          <w:w w:val="105"/>
        </w:rPr>
        <w:t> </w:t>
      </w:r>
      <w:r>
        <w:rPr>
          <w:color w:val="231F20"/>
          <w:w w:val="105"/>
        </w:rPr>
        <w:t>to</w:t>
      </w:r>
      <w:r>
        <w:rPr>
          <w:color w:val="231F20"/>
          <w:spacing w:val="-1"/>
          <w:w w:val="105"/>
        </w:rPr>
        <w:t> </w:t>
      </w:r>
      <w:r>
        <w:rPr>
          <w:color w:val="231F20"/>
          <w:w w:val="105"/>
        </w:rPr>
        <w:t>the</w:t>
      </w:r>
      <w:r>
        <w:rPr>
          <w:color w:val="231F20"/>
          <w:spacing w:val="-1"/>
          <w:w w:val="105"/>
        </w:rPr>
        <w:t> </w:t>
      </w:r>
      <w:r>
        <w:rPr>
          <w:color w:val="231F20"/>
          <w:w w:val="105"/>
        </w:rPr>
        <w:t>entire</w:t>
      </w:r>
      <w:r>
        <w:rPr>
          <w:color w:val="231F20"/>
          <w:spacing w:val="-1"/>
          <w:w w:val="105"/>
        </w:rPr>
        <w:t> </w:t>
      </w:r>
      <w:r>
        <w:rPr>
          <w:color w:val="231F20"/>
          <w:w w:val="105"/>
        </w:rPr>
        <w:t>SEBI</w:t>
      </w:r>
      <w:r>
        <w:rPr>
          <w:color w:val="231F20"/>
          <w:spacing w:val="-1"/>
          <w:w w:val="105"/>
        </w:rPr>
        <w:t> </w:t>
      </w:r>
      <w:r>
        <w:rPr>
          <w:color w:val="231F20"/>
          <w:w w:val="105"/>
        </w:rPr>
        <w:t>team</w:t>
      </w:r>
      <w:r>
        <w:rPr>
          <w:color w:val="231F20"/>
          <w:spacing w:val="-1"/>
          <w:w w:val="105"/>
        </w:rPr>
        <w:t> </w:t>
      </w:r>
      <w:r>
        <w:rPr>
          <w:color w:val="231F20"/>
          <w:w w:val="105"/>
        </w:rPr>
        <w:t>for</w:t>
      </w:r>
      <w:r>
        <w:rPr>
          <w:color w:val="231F20"/>
          <w:spacing w:val="-1"/>
          <w:w w:val="105"/>
        </w:rPr>
        <w:t> </w:t>
      </w:r>
      <w:r>
        <w:rPr>
          <w:color w:val="231F20"/>
          <w:w w:val="105"/>
        </w:rPr>
        <w:t>the </w:t>
      </w:r>
      <w:r>
        <w:rPr>
          <w:color w:val="231F20"/>
        </w:rPr>
        <w:t>professionalism they bring to this complex mandate. </w:t>
      </w:r>
      <w:r>
        <w:rPr>
          <w:color w:val="231F20"/>
          <w:w w:val="105"/>
        </w:rPr>
        <w:t>Our achievements this year reflect a collaborative spirit</w:t>
      </w:r>
      <w:r>
        <w:rPr>
          <w:color w:val="231F20"/>
          <w:spacing w:val="-17"/>
          <w:w w:val="105"/>
        </w:rPr>
        <w:t> </w:t>
      </w:r>
      <w:r>
        <w:rPr>
          <w:color w:val="231F20"/>
          <w:w w:val="105"/>
        </w:rPr>
        <w:t>shared</w:t>
      </w:r>
      <w:r>
        <w:rPr>
          <w:color w:val="231F20"/>
          <w:spacing w:val="-16"/>
          <w:w w:val="105"/>
        </w:rPr>
        <w:t> </w:t>
      </w:r>
      <w:r>
        <w:rPr>
          <w:color w:val="231F20"/>
          <w:w w:val="105"/>
        </w:rPr>
        <w:t>with</w:t>
      </w:r>
      <w:r>
        <w:rPr>
          <w:color w:val="231F20"/>
          <w:spacing w:val="-16"/>
          <w:w w:val="105"/>
        </w:rPr>
        <w:t> </w:t>
      </w:r>
      <w:r>
        <w:rPr>
          <w:color w:val="231F20"/>
          <w:w w:val="105"/>
        </w:rPr>
        <w:t>our</w:t>
      </w:r>
      <w:r>
        <w:rPr>
          <w:color w:val="231F20"/>
          <w:spacing w:val="-16"/>
          <w:w w:val="105"/>
        </w:rPr>
        <w:t> </w:t>
      </w:r>
      <w:r>
        <w:rPr>
          <w:color w:val="231F20"/>
          <w:w w:val="105"/>
        </w:rPr>
        <w:t>fellow</w:t>
      </w:r>
      <w:r>
        <w:rPr>
          <w:color w:val="231F20"/>
          <w:spacing w:val="-16"/>
          <w:w w:val="105"/>
        </w:rPr>
        <w:t> </w:t>
      </w:r>
      <w:r>
        <w:rPr>
          <w:color w:val="231F20"/>
          <w:w w:val="105"/>
        </w:rPr>
        <w:t>regulators,</w:t>
      </w:r>
      <w:r>
        <w:rPr>
          <w:color w:val="231F20"/>
          <w:spacing w:val="-16"/>
          <w:w w:val="105"/>
        </w:rPr>
        <w:t> </w:t>
      </w:r>
      <w:r>
        <w:rPr>
          <w:color w:val="231F20"/>
          <w:w w:val="105"/>
        </w:rPr>
        <w:t>the</w:t>
      </w:r>
      <w:r>
        <w:rPr>
          <w:color w:val="231F20"/>
          <w:spacing w:val="-16"/>
          <w:w w:val="105"/>
        </w:rPr>
        <w:t> </w:t>
      </w:r>
      <w:r>
        <w:rPr>
          <w:color w:val="231F20"/>
          <w:w w:val="105"/>
        </w:rPr>
        <w:t>Ministry of</w:t>
      </w:r>
      <w:r>
        <w:rPr>
          <w:color w:val="231F20"/>
          <w:w w:val="105"/>
        </w:rPr>
        <w:t> Finance,</w:t>
      </w:r>
      <w:r>
        <w:rPr>
          <w:color w:val="231F20"/>
          <w:w w:val="105"/>
        </w:rPr>
        <w:t> and</w:t>
      </w:r>
      <w:r>
        <w:rPr>
          <w:color w:val="231F20"/>
          <w:w w:val="105"/>
        </w:rPr>
        <w:t> the</w:t>
      </w:r>
      <w:r>
        <w:rPr>
          <w:color w:val="231F20"/>
          <w:w w:val="105"/>
        </w:rPr>
        <w:t> broader</w:t>
      </w:r>
      <w:r>
        <w:rPr>
          <w:color w:val="231F20"/>
          <w:w w:val="105"/>
        </w:rPr>
        <w:t> market</w:t>
      </w:r>
      <w:r>
        <w:rPr>
          <w:color w:val="231F20"/>
          <w:w w:val="105"/>
        </w:rPr>
        <w:t> community, </w:t>
      </w:r>
      <w:r>
        <w:rPr>
          <w:color w:val="231F20"/>
        </w:rPr>
        <w:t>including</w:t>
      </w:r>
      <w:r>
        <w:rPr>
          <w:color w:val="231F20"/>
          <w:spacing w:val="-7"/>
        </w:rPr>
        <w:t> </w:t>
      </w:r>
      <w:r>
        <w:rPr>
          <w:color w:val="231F20"/>
        </w:rPr>
        <w:t>investors,</w:t>
      </w:r>
      <w:r>
        <w:rPr>
          <w:color w:val="231F20"/>
          <w:spacing w:val="-7"/>
        </w:rPr>
        <w:t> </w:t>
      </w:r>
      <w:r>
        <w:rPr>
          <w:color w:val="231F20"/>
        </w:rPr>
        <w:t>issuers,</w:t>
      </w:r>
      <w:r>
        <w:rPr>
          <w:color w:val="231F20"/>
          <w:spacing w:val="-7"/>
        </w:rPr>
        <w:t> </w:t>
      </w:r>
      <w:r>
        <w:rPr>
          <w:color w:val="231F20"/>
        </w:rPr>
        <w:t>intermediaries</w:t>
      </w:r>
      <w:r>
        <w:rPr>
          <w:color w:val="231F20"/>
          <w:spacing w:val="-7"/>
        </w:rPr>
        <w:t> </w:t>
      </w:r>
      <w:r>
        <w:rPr>
          <w:color w:val="231F20"/>
        </w:rPr>
        <w:t>and</w:t>
      </w:r>
      <w:r>
        <w:rPr>
          <w:color w:val="231F20"/>
          <w:spacing w:val="-7"/>
        </w:rPr>
        <w:t> </w:t>
      </w:r>
      <w:r>
        <w:rPr>
          <w:color w:val="231F20"/>
        </w:rPr>
        <w:t>MIIs, whose partnership remains central to our vision of a </w:t>
      </w:r>
      <w:r>
        <w:rPr>
          <w:color w:val="231F20"/>
          <w:w w:val="105"/>
        </w:rPr>
        <w:t>globally respected financial ecosystem.</w:t>
      </w:r>
    </w:p>
    <w:p>
      <w:pPr>
        <w:pStyle w:val="BodyText"/>
        <w:spacing w:line="319" w:lineRule="auto" w:before="164"/>
        <w:ind w:left="136" w:right="126"/>
      </w:pPr>
      <w:r>
        <w:rPr>
          <w:color w:val="231F20"/>
          <w:w w:val="105"/>
        </w:rPr>
        <w:t>As</w:t>
      </w:r>
      <w:r>
        <w:rPr>
          <w:color w:val="231F20"/>
          <w:spacing w:val="-1"/>
          <w:w w:val="105"/>
        </w:rPr>
        <w:t> </w:t>
      </w:r>
      <w:r>
        <w:rPr>
          <w:color w:val="231F20"/>
          <w:w w:val="105"/>
        </w:rPr>
        <w:t>we</w:t>
      </w:r>
      <w:r>
        <w:rPr>
          <w:color w:val="231F20"/>
          <w:spacing w:val="-1"/>
          <w:w w:val="105"/>
        </w:rPr>
        <w:t> </w:t>
      </w:r>
      <w:r>
        <w:rPr>
          <w:color w:val="231F20"/>
          <w:w w:val="105"/>
        </w:rPr>
        <w:t>look</w:t>
      </w:r>
      <w:r>
        <w:rPr>
          <w:color w:val="231F20"/>
          <w:spacing w:val="-1"/>
          <w:w w:val="105"/>
        </w:rPr>
        <w:t> </w:t>
      </w:r>
      <w:r>
        <w:rPr>
          <w:color w:val="231F20"/>
          <w:w w:val="105"/>
        </w:rPr>
        <w:t>towards</w:t>
      </w:r>
      <w:r>
        <w:rPr>
          <w:color w:val="231F20"/>
          <w:spacing w:val="-1"/>
          <w:w w:val="105"/>
        </w:rPr>
        <w:t> </w:t>
      </w:r>
      <w:r>
        <w:rPr>
          <w:color w:val="231F20"/>
          <w:w w:val="105"/>
        </w:rPr>
        <w:t>the</w:t>
      </w:r>
      <w:r>
        <w:rPr>
          <w:color w:val="231F20"/>
          <w:spacing w:val="-1"/>
          <w:w w:val="105"/>
        </w:rPr>
        <w:t> </w:t>
      </w:r>
      <w:r>
        <w:rPr>
          <w:color w:val="231F20"/>
          <w:w w:val="105"/>
        </w:rPr>
        <w:t>horizon,</w:t>
      </w:r>
      <w:r>
        <w:rPr>
          <w:color w:val="231F20"/>
          <w:spacing w:val="-1"/>
          <w:w w:val="105"/>
        </w:rPr>
        <w:t> </w:t>
      </w:r>
      <w:r>
        <w:rPr>
          <w:color w:val="231F20"/>
          <w:w w:val="105"/>
        </w:rPr>
        <w:t>let</w:t>
      </w:r>
      <w:r>
        <w:rPr>
          <w:color w:val="231F20"/>
          <w:spacing w:val="-1"/>
          <w:w w:val="105"/>
        </w:rPr>
        <w:t> </w:t>
      </w:r>
      <w:r>
        <w:rPr>
          <w:color w:val="231F20"/>
          <w:w w:val="105"/>
        </w:rPr>
        <w:t>us</w:t>
      </w:r>
      <w:r>
        <w:rPr>
          <w:color w:val="231F20"/>
          <w:spacing w:val="-1"/>
          <w:w w:val="105"/>
        </w:rPr>
        <w:t> </w:t>
      </w:r>
      <w:r>
        <w:rPr>
          <w:color w:val="231F20"/>
          <w:w w:val="105"/>
        </w:rPr>
        <w:t>continue</w:t>
      </w:r>
      <w:r>
        <w:rPr>
          <w:color w:val="231F20"/>
          <w:spacing w:val="-1"/>
          <w:w w:val="105"/>
        </w:rPr>
        <w:t> </w:t>
      </w:r>
      <w:r>
        <w:rPr>
          <w:color w:val="231F20"/>
          <w:w w:val="105"/>
        </w:rPr>
        <w:t>to </w:t>
      </w:r>
      <w:r>
        <w:rPr>
          <w:color w:val="231F20"/>
        </w:rPr>
        <w:t>move forward with confidence and unity, committed </w:t>
      </w:r>
      <w:r>
        <w:rPr>
          <w:color w:val="231F20"/>
          <w:w w:val="105"/>
        </w:rPr>
        <w:t>to</w:t>
      </w:r>
      <w:r>
        <w:rPr>
          <w:color w:val="231F20"/>
          <w:w w:val="105"/>
        </w:rPr>
        <w:t> the</w:t>
      </w:r>
      <w:r>
        <w:rPr>
          <w:color w:val="231F20"/>
          <w:w w:val="105"/>
        </w:rPr>
        <w:t> enduring</w:t>
      </w:r>
      <w:r>
        <w:rPr>
          <w:color w:val="231F20"/>
          <w:w w:val="105"/>
        </w:rPr>
        <w:t> prosperity</w:t>
      </w:r>
      <w:r>
        <w:rPr>
          <w:color w:val="231F20"/>
          <w:w w:val="105"/>
        </w:rPr>
        <w:t> of</w:t>
      </w:r>
      <w:r>
        <w:rPr>
          <w:color w:val="231F20"/>
          <w:w w:val="105"/>
        </w:rPr>
        <w:t> all</w:t>
      </w:r>
      <w:r>
        <w:rPr>
          <w:color w:val="231F20"/>
          <w:w w:val="105"/>
        </w:rPr>
        <w:t> stakeholders</w:t>
      </w:r>
      <w:r>
        <w:rPr>
          <w:color w:val="231F20"/>
          <w:w w:val="105"/>
        </w:rPr>
        <w:t> in India’s growth story.</w:t>
      </w:r>
    </w:p>
    <w:p>
      <w:pPr>
        <w:pStyle w:val="BodyText"/>
        <w:spacing w:before="168"/>
        <w:ind w:left="136" w:right="0"/>
      </w:pPr>
      <w:r>
        <w:rPr>
          <w:color w:val="231F20"/>
        </w:rPr>
        <w:t>Jai</w:t>
      </w:r>
      <w:r>
        <w:rPr>
          <w:color w:val="231F20"/>
          <w:spacing w:val="-3"/>
        </w:rPr>
        <w:t> </w:t>
      </w:r>
      <w:r>
        <w:rPr>
          <w:color w:val="231F20"/>
          <w:spacing w:val="-2"/>
        </w:rPr>
        <w:t>Hind!</w:t>
      </w:r>
    </w:p>
    <w:sectPr>
      <w:pgSz w:w="12240" w:h="15840"/>
      <w:pgMar w:top="780" w:bottom="280" w:left="720" w:right="720"/>
      <w:cols w:num="2" w:equalWidth="0">
        <w:col w:w="5279" w:space="155"/>
        <w:col w:w="536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reat Vibes">
    <w:altName w:val="Great Vibes"/>
    <w:charset w:val="0"/>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62"/>
      <w:ind w:left="130" w:right="38"/>
      <w:jc w:val="both"/>
    </w:pPr>
    <w:rPr>
      <w:rFonts w:ascii="Arial" w:hAnsi="Arial" w:eastAsia="Arial" w:cs="Arial"/>
      <w:sz w:val="22"/>
      <w:szCs w:val="22"/>
      <w:lang w:val="en-US" w:eastAsia="en-US" w:bidi="ar-SA"/>
    </w:rPr>
  </w:style>
  <w:style w:styleId="Title" w:type="paragraph">
    <w:name w:val="Title"/>
    <w:basedOn w:val="Normal"/>
    <w:uiPriority w:val="1"/>
    <w:qFormat/>
    <w:pPr>
      <w:spacing w:line="765" w:lineRule="exact"/>
    </w:pPr>
    <w:rPr>
      <w:rFonts w:ascii="Times New Roman" w:hAnsi="Times New Roman" w:eastAsia="Times New Roman" w:cs="Times New Roman"/>
      <w:b/>
      <w:bCs/>
      <w:sz w:val="69"/>
      <w:szCs w:val="6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2026-08-07T05:32:26Z</dcterms:created>
  <dcterms:modified xsi:type="dcterms:W3CDTF">2026-08-07T05:32:26Z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2026-08-07T00:00:00Z</vt:filetime>
  </property>
  <property fmtid="{D5CDD505-2E9C-101B-9397-08002B2CF9AE}" pid="3" name="Creator">
    <vt:lpwstr>Adobe InDesign 21.3 (Windows)</vt:lpwstr>
  </property>
  <property fmtid="{D5CDD505-2E9C-101B-9397-08002B2CF9AE}" pid="4" name="LastSaved">
    <vt:filetime>2026-08-07T00:00:00Z</vt:filetime>
  </property>
  <property fmtid="{D5CDD505-2E9C-101B-9397-08002B2CF9AE}" pid="5" name="Producer">
    <vt:lpwstr>Adobe PDF Library 18.0</vt:lpwstr>
  </property>
</Properties>
</file>